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66C3D" w14:textId="77777777" w:rsidR="008F65FC" w:rsidRDefault="00000000">
      <w:pPr>
        <w:pStyle w:val="V-BodyText"/>
      </w:pPr>
      <w:r>
        <w:rPr>
          <w:b/>
        </w:rPr>
        <w:t>How to use the Vertex templates</w:t>
      </w:r>
    </w:p>
    <w:p w14:paraId="41C332A8" w14:textId="77777777" w:rsidR="008F65FC" w:rsidRDefault="00000000">
      <w:pPr>
        <w:pStyle w:val="V-Guidance"/>
      </w:pPr>
      <w:r>
        <w:t>These are guidance pages. Delete the guidance pages before finalizing the document.</w:t>
      </w:r>
    </w:p>
    <w:p w14:paraId="787B3058" w14:textId="26E13F38" w:rsidR="008F65FC" w:rsidRDefault="00000000">
      <w:pPr>
        <w:pStyle w:val="V-Guidance"/>
      </w:pPr>
      <w:r>
        <w:t xml:space="preserve">The Vertex protocol template </w:t>
      </w:r>
      <w:r w:rsidR="00BA20DE">
        <w:t xml:space="preserve">aligns with </w:t>
      </w:r>
      <w:r>
        <w:t xml:space="preserve">the ICH M11 Clinical Electronic Structured Harmonised Protocol (CeSHarP), the internationally harmonised structure and content for interventional clinical study protocols. The M11 structure standardizes how protocol information is organized and exchanged across regions, reducing duplicative effort and supporting consistent regulatory review. </w:t>
      </w:r>
    </w:p>
    <w:p w14:paraId="28FA8D97" w14:textId="77777777" w:rsidR="00C764A9" w:rsidRDefault="00C764A9" w:rsidP="0065324A">
      <w:pPr>
        <w:pStyle w:val="V-Guidance"/>
      </w:pPr>
      <w:r>
        <w:t xml:space="preserve">This template is intended for Sponsored interventional clinical trial protocols and is suitable for all phases and therapeutic areas of clinical research. Existing ICH guidelines were considered during the development of this template. Where guidelines are cited, refer to the most current version. </w:t>
      </w:r>
    </w:p>
    <w:p w14:paraId="2F16A9CE" w14:textId="77777777" w:rsidR="008F65FC" w:rsidRDefault="00000000" w:rsidP="00C764A9">
      <w:pPr>
        <w:pStyle w:val="V-Guidance"/>
      </w:pPr>
      <w:r>
        <w:t>The Vertex protocol template is built from the Vertex base template, and as such, follows specific heading, table, and body-paragraph built-in Vertex styles (Times New Roman 12, multilevel heading numbering). Do not reformat by hand; apply the named styles.</w:t>
      </w:r>
    </w:p>
    <w:p w14:paraId="137D1669" w14:textId="77777777" w:rsidR="006409A9" w:rsidRDefault="006409A9" w:rsidP="006409A9">
      <w:pPr>
        <w:pStyle w:val="V-BodyText"/>
        <w:rPr>
          <w:b/>
        </w:rPr>
      </w:pPr>
      <w:r>
        <w:rPr>
          <w:b/>
        </w:rPr>
        <w:t xml:space="preserve">Template Conventions and General Instructions </w:t>
      </w:r>
    </w:p>
    <w:p w14:paraId="40D17410" w14:textId="77777777" w:rsidR="004F6B38" w:rsidRDefault="004F6B38" w:rsidP="006409A9">
      <w:pPr>
        <w:pStyle w:val="V-BodyText"/>
      </w:pPr>
      <w:r>
        <w:t xml:space="preserve">Universal text and </w:t>
      </w:r>
      <w:r>
        <w:rPr>
          <w:b/>
          <w:bCs/>
        </w:rPr>
        <w:t xml:space="preserve">headings </w:t>
      </w:r>
      <w:r>
        <w:t>(black): the ICH M11 structure, numbering, and standard language.</w:t>
      </w:r>
    </w:p>
    <w:p w14:paraId="3E5E7350" w14:textId="77777777" w:rsidR="008F65FC" w:rsidRDefault="00000000">
      <w:pPr>
        <w:pStyle w:val="V-Guidance"/>
      </w:pPr>
      <w:r>
        <w:t>Guidance (green italic, V-Guidance style): what ICH M11 requires and how to complete each section. May also include guidance based on regulatory medical writing experience. Delete before finalizing.</w:t>
      </w:r>
    </w:p>
    <w:p w14:paraId="487A944F" w14:textId="6AA50D88" w:rsidR="00B02C01" w:rsidRDefault="00B02C01">
      <w:pPr>
        <w:pStyle w:val="V-Guidance"/>
      </w:pPr>
      <w:r>
        <w:t>Fixed versus modifiable structure: the common section headers and the standard content defined by regulatory guidance’s are fixed and should be retained. Lower-level subheadings may be added, removed, or modified to fit the investigational product and the stage of development, provided the required content is present.</w:t>
      </w:r>
      <w:r w:rsidR="00BA20DE">
        <w:t xml:space="preserve"> Some sections may be re-arranged for flow and presentation.</w:t>
      </w:r>
    </w:p>
    <w:p w14:paraId="21988925" w14:textId="77777777" w:rsidR="008F65FC" w:rsidRDefault="00000000">
      <w:pPr>
        <w:pStyle w:val="V-Example"/>
      </w:pPr>
      <w:r>
        <w:t>Example (black italic, V-Example style): the example text is based on a representative late-phase study model, a Phase 3 randomized, double-blind, placebo-controlled add-on combination study. The example can, and should, be adapted to the specific study at hand.</w:t>
      </w:r>
    </w:p>
    <w:p w14:paraId="73D2203D" w14:textId="77777777" w:rsidR="006D7C99" w:rsidRDefault="006D7C99" w:rsidP="006D7C99">
      <w:pPr>
        <w:pStyle w:val="V-Greyed"/>
      </w:pPr>
      <w:r>
        <w:t>Optional (grey italic, V-Greyed style): represents optional headings and/or sections.</w:t>
      </w:r>
    </w:p>
    <w:p w14:paraId="5F2BAF28" w14:textId="77777777" w:rsidR="008F65FC" w:rsidRDefault="00000000">
      <w:pPr>
        <w:pStyle w:val="V-BodyText"/>
      </w:pPr>
      <w:r>
        <w:rPr>
          <w:b/>
        </w:rPr>
        <w:t>Readable defaults</w:t>
      </w:r>
    </w:p>
    <w:p w14:paraId="29EB7A0F" w14:textId="77777777" w:rsidR="008F65FC" w:rsidRDefault="00000000">
      <w:pPr>
        <w:pStyle w:val="V-Guidance"/>
      </w:pPr>
      <w:r>
        <w:t>Replace these throughout (Find and Replace): "DRUG‑123" (replace with the investigational product name); "Sponsor Pharmaceuticals Inc., (Sponsor) and address; "disease indication" (disease and intended patient population); and "Study DRUG‑123-001" (with the actual study number), “IND XXXXXX”, “EU CT XXXX-XXXXXX-XX-XX”, “NCT XXXXXXXX”(identifiers). American English is the default language; British spelling appears only inside official ICH guideline titles and names (for example, International Council for Harmonisation).</w:t>
      </w:r>
    </w:p>
    <w:p w14:paraId="49B653D6" w14:textId="77777777" w:rsidR="00B02C01" w:rsidRDefault="00B25809">
      <w:pPr>
        <w:pStyle w:val="V-BodyText"/>
        <w:keepNext/>
        <w:keepLines/>
      </w:pPr>
      <w:r>
        <w:rPr>
          <w:b/>
        </w:rPr>
        <w:lastRenderedPageBreak/>
        <w:t>Terminology</w:t>
      </w:r>
    </w:p>
    <w:p w14:paraId="72BB1008" w14:textId="77777777" w:rsidR="00B02C01" w:rsidRDefault="00B02C01">
      <w:pPr>
        <w:pStyle w:val="V-Guidance"/>
        <w:keepNext/>
        <w:keepLines/>
      </w:pPr>
      <w:r>
        <w:t>A person in the study is a "participant" or a "patient" with disease indication; the generic intervention is "study treatment" or "investigational product".</w:t>
      </w:r>
    </w:p>
    <w:p w14:paraId="0D62F434" w14:textId="77777777" w:rsidR="008F65FC" w:rsidRDefault="00000000">
      <w:pPr>
        <w:pStyle w:val="V-BodyText"/>
        <w:keepNext/>
        <w:keepLines/>
      </w:pPr>
      <w:r>
        <w:rPr>
          <w:b/>
        </w:rPr>
        <w:t>Alignment</w:t>
      </w:r>
    </w:p>
    <w:p w14:paraId="283F1495" w14:textId="77777777" w:rsidR="008F65FC" w:rsidRDefault="00000000">
      <w:pPr>
        <w:pStyle w:val="V-Guidance"/>
        <w:keepNext/>
        <w:keepLines/>
      </w:pPr>
      <w:r>
        <w:t>Structure: ICH M11 CeSHarP (Step 4, adopted 19 November 2025; FDA final guidance 22 May 2026). GCP: ICH E6(R3). General considerations: ICH E8(R1). Estimands: ICH E9(R1). Adverse-event definitions: ICH E2A. Tumor response: RECIST v1.1.</w:t>
      </w:r>
    </w:p>
    <w:p w14:paraId="1705599E" w14:textId="77777777" w:rsidR="008F65FC" w:rsidRDefault="00000000">
      <w:pPr>
        <w:pStyle w:val="V-Guidance"/>
      </w:pPr>
      <w:r>
        <w:t>Aligned to guidance current as of version date below. A specific guideline is named in guidance only where more than one standard could govern the same statement (conduct versus reporting): this protocol names ICH E6(R3) at Risk-Based Quality Management and Data Governance, 21 CFR 312.32 and ICH E2A at safety reporting, and ICH E9(R1) at estimands; elsewhere the ICH M11 structure is implicit.</w:t>
      </w:r>
    </w:p>
    <w:p w14:paraId="434BD2CC" w14:textId="77777777" w:rsidR="008F65FC" w:rsidRDefault="00000000">
      <w:pPr>
        <w:pStyle w:val="V-Guidance"/>
      </w:pPr>
      <w:r>
        <w:t xml:space="preserve">End of guidance. The protocol begins on the next page. </w:t>
      </w:r>
    </w:p>
    <w:p w14:paraId="4EE2B220" w14:textId="77777777" w:rsidR="00C764A9" w:rsidRPr="00C764A9" w:rsidRDefault="00C764A9">
      <w:pPr>
        <w:rPr>
          <w:b/>
          <w:bCs/>
        </w:rPr>
      </w:pPr>
      <w:r>
        <w:rPr>
          <w:b/>
          <w:bCs/>
        </w:rPr>
        <w:t>Template Versioning History</w:t>
      </w:r>
    </w:p>
    <w:tbl>
      <w:tblPr>
        <w:tblStyle w:val="TableGrid"/>
        <w:tblW w:w="5000" w:type="pct"/>
        <w:tblLook w:val="04A0" w:firstRow="1" w:lastRow="0" w:firstColumn="1" w:lastColumn="0" w:noHBand="0" w:noVBand="1"/>
      </w:tblPr>
      <w:tblGrid>
        <w:gridCol w:w="1257"/>
        <w:gridCol w:w="1980"/>
        <w:gridCol w:w="3057"/>
        <w:gridCol w:w="3056"/>
      </w:tblGrid>
      <w:tr w:rsidR="00C764A9" w:rsidRPr="00C764A9" w14:paraId="54A786BD" w14:textId="77777777" w:rsidTr="00B57F24">
        <w:tc>
          <w:tcPr>
            <w:tcW w:w="672" w:type="pct"/>
            <w:vAlign w:val="bottom"/>
          </w:tcPr>
          <w:p w14:paraId="69D8638B" w14:textId="77777777" w:rsidR="00C764A9" w:rsidRPr="0065324A" w:rsidRDefault="00C764A9" w:rsidP="0065324A">
            <w:pPr>
              <w:pStyle w:val="V-tableheader"/>
              <w:jc w:val="left"/>
              <w:rPr>
                <w:sz w:val="18"/>
                <w:szCs w:val="18"/>
              </w:rPr>
            </w:pPr>
            <w:r>
              <w:rPr>
                <w:sz w:val="18"/>
                <w:szCs w:val="18"/>
              </w:rPr>
              <w:t>Version</w:t>
            </w:r>
          </w:p>
        </w:tc>
        <w:tc>
          <w:tcPr>
            <w:tcW w:w="1059" w:type="pct"/>
            <w:vAlign w:val="bottom"/>
          </w:tcPr>
          <w:p w14:paraId="2D6FB73F" w14:textId="77777777" w:rsidR="00C764A9" w:rsidRPr="0065324A" w:rsidRDefault="00C764A9" w:rsidP="0065324A">
            <w:pPr>
              <w:pStyle w:val="V-tableheader"/>
              <w:ind w:left="-112" w:right="-108" w:firstLine="112"/>
              <w:jc w:val="left"/>
              <w:rPr>
                <w:sz w:val="18"/>
                <w:szCs w:val="18"/>
              </w:rPr>
            </w:pPr>
            <w:r>
              <w:rPr>
                <w:sz w:val="18"/>
                <w:szCs w:val="18"/>
              </w:rPr>
              <w:t>Date</w:t>
            </w:r>
          </w:p>
        </w:tc>
        <w:tc>
          <w:tcPr>
            <w:tcW w:w="1635" w:type="pct"/>
            <w:vAlign w:val="bottom"/>
          </w:tcPr>
          <w:p w14:paraId="31D5A702" w14:textId="77777777" w:rsidR="00C764A9" w:rsidRPr="0065324A" w:rsidRDefault="00C764A9" w:rsidP="0065324A">
            <w:pPr>
              <w:pStyle w:val="V-tableheader"/>
              <w:jc w:val="left"/>
              <w:rPr>
                <w:sz w:val="18"/>
                <w:szCs w:val="18"/>
              </w:rPr>
            </w:pPr>
            <w:r>
              <w:rPr>
                <w:sz w:val="18"/>
                <w:szCs w:val="18"/>
              </w:rPr>
              <w:t>Summary of Key Changes</w:t>
            </w:r>
          </w:p>
        </w:tc>
        <w:tc>
          <w:tcPr>
            <w:tcW w:w="1634" w:type="pct"/>
            <w:vAlign w:val="bottom"/>
          </w:tcPr>
          <w:p w14:paraId="6C74B743" w14:textId="77777777" w:rsidR="00C764A9" w:rsidRPr="0065324A" w:rsidRDefault="00C764A9" w:rsidP="0065324A">
            <w:pPr>
              <w:pStyle w:val="V-tableheader"/>
              <w:jc w:val="left"/>
              <w:rPr>
                <w:sz w:val="18"/>
                <w:szCs w:val="18"/>
              </w:rPr>
            </w:pPr>
            <w:r>
              <w:rPr>
                <w:sz w:val="18"/>
                <w:szCs w:val="18"/>
              </w:rPr>
              <w:t>Rationale</w:t>
            </w:r>
          </w:p>
        </w:tc>
      </w:tr>
      <w:tr w:rsidR="00C764A9" w:rsidRPr="00C764A9" w14:paraId="5F03B08F" w14:textId="77777777" w:rsidTr="00B57F24">
        <w:tc>
          <w:tcPr>
            <w:tcW w:w="672" w:type="pct"/>
          </w:tcPr>
          <w:p w14:paraId="39E8F52D" w14:textId="77777777" w:rsidR="00C764A9" w:rsidRPr="0065324A" w:rsidRDefault="00C764A9" w:rsidP="0065324A">
            <w:pPr>
              <w:pStyle w:val="V-tablecellleft"/>
              <w:rPr>
                <w:sz w:val="18"/>
                <w:szCs w:val="18"/>
              </w:rPr>
            </w:pPr>
            <w:r>
              <w:rPr>
                <w:sz w:val="18"/>
                <w:szCs w:val="18"/>
              </w:rPr>
              <w:t>3.1</w:t>
            </w:r>
          </w:p>
        </w:tc>
        <w:tc>
          <w:tcPr>
            <w:tcW w:w="1059" w:type="pct"/>
          </w:tcPr>
          <w:p w14:paraId="39128422" w14:textId="77777777" w:rsidR="00C764A9" w:rsidRPr="0065324A" w:rsidRDefault="0065324A" w:rsidP="0065324A">
            <w:pPr>
              <w:pStyle w:val="V-tablecellleft"/>
              <w:ind w:left="-112" w:right="-108" w:firstLine="112"/>
              <w:rPr>
                <w:sz w:val="18"/>
                <w:szCs w:val="18"/>
              </w:rPr>
            </w:pPr>
            <w:r>
              <w:rPr>
                <w:sz w:val="18"/>
                <w:szCs w:val="18"/>
              </w:rPr>
              <w:t>24 JUN 2026</w:t>
            </w:r>
          </w:p>
        </w:tc>
        <w:tc>
          <w:tcPr>
            <w:tcW w:w="1635" w:type="pct"/>
          </w:tcPr>
          <w:p w14:paraId="1663DC74" w14:textId="77777777" w:rsidR="00C764A9" w:rsidRPr="0065324A" w:rsidRDefault="0065324A" w:rsidP="005C24FA">
            <w:pPr>
              <w:pStyle w:val="V-SynopsisBullet1"/>
            </w:pPr>
            <w:r>
              <w:t>Updated example language</w:t>
            </w:r>
          </w:p>
        </w:tc>
        <w:tc>
          <w:tcPr>
            <w:tcW w:w="1634" w:type="pct"/>
          </w:tcPr>
          <w:p w14:paraId="100D084A" w14:textId="77777777" w:rsidR="00C764A9" w:rsidRPr="0065324A" w:rsidRDefault="0065324A" w:rsidP="005C24FA">
            <w:pPr>
              <w:pStyle w:val="V-SynopsisBullet1"/>
            </w:pPr>
            <w:r>
              <w:t>Example language updated for clarity</w:t>
            </w:r>
          </w:p>
        </w:tc>
      </w:tr>
      <w:tr w:rsidR="00C764A9" w:rsidRPr="00C764A9" w14:paraId="57B55E6C" w14:textId="77777777" w:rsidTr="00B57F24">
        <w:tc>
          <w:tcPr>
            <w:tcW w:w="672" w:type="pct"/>
          </w:tcPr>
          <w:p w14:paraId="2B994833" w14:textId="77777777" w:rsidR="00C764A9" w:rsidRPr="0065324A" w:rsidRDefault="00C764A9" w:rsidP="0065324A">
            <w:pPr>
              <w:pStyle w:val="V-tablecellleft"/>
              <w:rPr>
                <w:sz w:val="18"/>
                <w:szCs w:val="18"/>
              </w:rPr>
            </w:pPr>
            <w:r>
              <w:rPr>
                <w:sz w:val="18"/>
                <w:szCs w:val="18"/>
              </w:rPr>
              <w:t>3.0</w:t>
            </w:r>
          </w:p>
        </w:tc>
        <w:tc>
          <w:tcPr>
            <w:tcW w:w="1059" w:type="pct"/>
          </w:tcPr>
          <w:p w14:paraId="327395BC" w14:textId="77777777" w:rsidR="00C764A9" w:rsidRPr="0065324A" w:rsidRDefault="0065324A" w:rsidP="0065324A">
            <w:pPr>
              <w:pStyle w:val="V-tablecellleft"/>
              <w:ind w:left="-112" w:right="-108" w:firstLine="112"/>
              <w:rPr>
                <w:sz w:val="18"/>
                <w:szCs w:val="18"/>
              </w:rPr>
            </w:pPr>
            <w:r>
              <w:rPr>
                <w:sz w:val="18"/>
                <w:szCs w:val="18"/>
              </w:rPr>
              <w:t>19 NOV 2025</w:t>
            </w:r>
          </w:p>
        </w:tc>
        <w:tc>
          <w:tcPr>
            <w:tcW w:w="1635" w:type="pct"/>
          </w:tcPr>
          <w:p w14:paraId="17441289" w14:textId="77777777" w:rsidR="00C764A9" w:rsidRPr="0065324A" w:rsidRDefault="0065324A" w:rsidP="005C24FA">
            <w:pPr>
              <w:pStyle w:val="V-SynopsisBullet1"/>
            </w:pPr>
            <w:r>
              <w:t>Aligned to ICH M11 (Step 4)</w:t>
            </w:r>
          </w:p>
        </w:tc>
        <w:tc>
          <w:tcPr>
            <w:tcW w:w="1634" w:type="pct"/>
          </w:tcPr>
          <w:p w14:paraId="2987BEF4" w14:textId="77777777" w:rsidR="00C764A9" w:rsidRPr="0065324A" w:rsidRDefault="0065324A" w:rsidP="005C24FA">
            <w:pPr>
              <w:pStyle w:val="V-SynopsisBullet1"/>
            </w:pPr>
            <w:r>
              <w:t>Updated for alignment to guidance’s.</w:t>
            </w:r>
          </w:p>
        </w:tc>
      </w:tr>
      <w:tr w:rsidR="00C764A9" w:rsidRPr="00C764A9" w14:paraId="55446E6C" w14:textId="77777777" w:rsidTr="00B57F24">
        <w:tc>
          <w:tcPr>
            <w:tcW w:w="672" w:type="pct"/>
          </w:tcPr>
          <w:p w14:paraId="63F42F85" w14:textId="77777777" w:rsidR="00C764A9" w:rsidRPr="0065324A" w:rsidRDefault="00C764A9" w:rsidP="0065324A">
            <w:pPr>
              <w:pStyle w:val="V-tablecellleft"/>
              <w:rPr>
                <w:sz w:val="18"/>
                <w:szCs w:val="18"/>
              </w:rPr>
            </w:pPr>
            <w:r>
              <w:rPr>
                <w:sz w:val="18"/>
                <w:szCs w:val="18"/>
              </w:rPr>
              <w:t>2.0</w:t>
            </w:r>
          </w:p>
        </w:tc>
        <w:tc>
          <w:tcPr>
            <w:tcW w:w="1059" w:type="pct"/>
          </w:tcPr>
          <w:p w14:paraId="29CFFCCD" w14:textId="77777777" w:rsidR="00C764A9" w:rsidRPr="0065324A" w:rsidRDefault="0065324A" w:rsidP="0065324A">
            <w:pPr>
              <w:pStyle w:val="V-tablecellleft"/>
              <w:rPr>
                <w:sz w:val="18"/>
                <w:szCs w:val="18"/>
              </w:rPr>
            </w:pPr>
            <w:r>
              <w:rPr>
                <w:sz w:val="18"/>
                <w:szCs w:val="18"/>
              </w:rPr>
              <w:t>06 JAN 2025</w:t>
            </w:r>
          </w:p>
        </w:tc>
        <w:tc>
          <w:tcPr>
            <w:tcW w:w="1635" w:type="pct"/>
          </w:tcPr>
          <w:p w14:paraId="2B220523" w14:textId="77777777" w:rsidR="00C764A9" w:rsidRPr="0065324A" w:rsidRDefault="00A76631" w:rsidP="005C24FA">
            <w:pPr>
              <w:pStyle w:val="V-SynopsisBullet1"/>
            </w:pPr>
            <w:r>
              <w:t>Aligned to ICH E6 (R3) good clinical practice (Step 4)</w:t>
            </w:r>
          </w:p>
        </w:tc>
        <w:tc>
          <w:tcPr>
            <w:tcW w:w="1634" w:type="pct"/>
          </w:tcPr>
          <w:p w14:paraId="532BE030" w14:textId="77777777" w:rsidR="00C764A9" w:rsidRPr="0065324A" w:rsidRDefault="0065324A" w:rsidP="005C24FA">
            <w:pPr>
              <w:pStyle w:val="V-SynopsisBullet1"/>
            </w:pPr>
            <w:r>
              <w:t>Updated for alignment to guidance’s.</w:t>
            </w:r>
          </w:p>
        </w:tc>
      </w:tr>
      <w:tr w:rsidR="00C764A9" w:rsidRPr="0065324A" w14:paraId="5E8463CE" w14:textId="77777777" w:rsidTr="00B57F24">
        <w:tc>
          <w:tcPr>
            <w:tcW w:w="672" w:type="pct"/>
          </w:tcPr>
          <w:p w14:paraId="3D4D0F09" w14:textId="77777777" w:rsidR="00C764A9" w:rsidRPr="0065324A" w:rsidRDefault="00C764A9" w:rsidP="0065324A">
            <w:pPr>
              <w:pStyle w:val="V-tablecellleft"/>
              <w:rPr>
                <w:sz w:val="18"/>
                <w:szCs w:val="18"/>
              </w:rPr>
            </w:pPr>
            <w:r>
              <w:rPr>
                <w:sz w:val="18"/>
                <w:szCs w:val="18"/>
              </w:rPr>
              <w:t>1.0</w:t>
            </w:r>
          </w:p>
        </w:tc>
        <w:tc>
          <w:tcPr>
            <w:tcW w:w="1059" w:type="pct"/>
          </w:tcPr>
          <w:p w14:paraId="50469207" w14:textId="77777777" w:rsidR="00C764A9" w:rsidRPr="0065324A" w:rsidRDefault="0065324A" w:rsidP="0065324A">
            <w:pPr>
              <w:pStyle w:val="V-tablecellleft"/>
              <w:rPr>
                <w:sz w:val="18"/>
                <w:szCs w:val="18"/>
              </w:rPr>
            </w:pPr>
            <w:r>
              <w:rPr>
                <w:sz w:val="18"/>
                <w:szCs w:val="18"/>
              </w:rPr>
              <w:t>20 NOV 2024</w:t>
            </w:r>
          </w:p>
        </w:tc>
        <w:tc>
          <w:tcPr>
            <w:tcW w:w="1635" w:type="pct"/>
          </w:tcPr>
          <w:p w14:paraId="3E5CF481" w14:textId="77777777" w:rsidR="00C764A9" w:rsidRPr="0065324A" w:rsidRDefault="0065324A" w:rsidP="005C24FA">
            <w:pPr>
              <w:pStyle w:val="V-SynopsisBullet1"/>
            </w:pPr>
            <w:r>
              <w:t>Initial release</w:t>
            </w:r>
          </w:p>
        </w:tc>
        <w:tc>
          <w:tcPr>
            <w:tcW w:w="1634" w:type="pct"/>
          </w:tcPr>
          <w:p w14:paraId="0F1CCA2A" w14:textId="77777777" w:rsidR="00C764A9" w:rsidRPr="0065324A" w:rsidRDefault="00C764A9" w:rsidP="005C24FA">
            <w:pPr>
              <w:pStyle w:val="V-SynopsisBullet1"/>
              <w:numPr>
                <w:ilvl w:val="0"/>
                <w:numId w:val="0"/>
              </w:numPr>
              <w:ind w:left="360"/>
            </w:pPr>
          </w:p>
        </w:tc>
      </w:tr>
    </w:tbl>
    <w:p w14:paraId="17F5B8AB" w14:textId="77777777" w:rsidR="00B02C01" w:rsidRPr="00D43AE4" w:rsidRDefault="00B02C01" w:rsidP="0065324A">
      <w:pPr>
        <w:spacing w:before="60" w:after="60" w:line="240" w:lineRule="auto"/>
        <w:rPr>
          <w:b/>
          <w:sz w:val="18"/>
          <w:szCs w:val="18"/>
        </w:rPr>
      </w:pPr>
      <w:r w:rsidRPr="00D43AE4">
        <w:rPr>
          <w:b/>
          <w:sz w:val="18"/>
          <w:szCs w:val="18"/>
          <w:vertAlign w:val="superscript"/>
        </w:rPr>
        <w:t>©</w:t>
      </w:r>
      <w:r w:rsidRPr="00D43AE4">
        <w:rPr>
          <w:b/>
          <w:sz w:val="18"/>
          <w:szCs w:val="18"/>
        </w:rPr>
        <w:t>2024–2026 Vertex Writing Solutions</w:t>
      </w:r>
    </w:p>
    <w:p w14:paraId="17F5B8AC" w14:textId="77777777" w:rsidR="00B02C01" w:rsidRPr="00D43AE4" w:rsidRDefault="00B02C01" w:rsidP="0065324A">
      <w:pPr>
        <w:spacing w:before="60" w:after="60" w:line="240" w:lineRule="auto"/>
        <w:rPr>
          <w:bCs/>
          <w:sz w:val="18"/>
          <w:szCs w:val="18"/>
        </w:rPr>
      </w:pPr>
      <w:r w:rsidRPr="00D43AE4">
        <w:rPr>
          <w:bCs/>
          <w:sz w:val="18"/>
          <w:szCs w:val="18"/>
        </w:rPr>
        <w:t>Provided free for evaluation and internal reference; not for resale, sublicensing, or redistribution. Full customizable suites are licensed separately.</w:t>
      </w:r>
    </w:p>
    <w:p w14:paraId="48BA4200" w14:textId="77777777" w:rsidR="00195218" w:rsidRDefault="00195218">
      <w:pPr>
        <w:spacing w:before="0" w:after="0" w:line="240" w:lineRule="auto"/>
        <w:rPr>
          <w:szCs w:val="24"/>
        </w:rPr>
      </w:pPr>
      <w:r>
        <w:br w:type="page"/>
      </w:r>
    </w:p>
    <w:p w14:paraId="2C82D796" w14:textId="77777777" w:rsidR="00C974A0" w:rsidRDefault="00000000">
      <w:pPr>
        <w:pStyle w:val="V-BodyText"/>
        <w:jc w:val="center"/>
      </w:pPr>
      <w:r>
        <w:rPr>
          <w:noProof/>
        </w:rPr>
        <w:lastRenderedPageBreak/>
        <w:drawing>
          <wp:inline distT="0" distB="0" distL="0" distR="0" wp14:anchorId="2CCD6717" wp14:editId="5EF8AFB3">
            <wp:extent cx="2011680" cy="1463040"/>
            <wp:effectExtent l="0" t="0" r="0" b="0"/>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Picture 1002"/>
                    <pic:cNvPicPr/>
                  </pic:nvPicPr>
                  <pic:blipFill>
                    <a:blip r:embed="rId8"/>
                    <a:stretch>
                      <a:fillRect/>
                    </a:stretch>
                  </pic:blipFill>
                  <pic:spPr>
                    <a:xfrm>
                      <a:off x="0" y="0"/>
                      <a:ext cx="2011680" cy="1463040"/>
                    </a:xfrm>
                    <a:prstGeom prst="rect">
                      <a:avLst/>
                    </a:prstGeom>
                  </pic:spPr>
                </pic:pic>
              </a:graphicData>
            </a:graphic>
          </wp:inline>
        </w:drawing>
      </w:r>
    </w:p>
    <w:p w14:paraId="32956A50" w14:textId="77777777" w:rsidR="008F65FC" w:rsidRDefault="00000000" w:rsidP="00A50788">
      <w:pPr>
        <w:pStyle w:val="V-BodyText"/>
        <w:jc w:val="center"/>
      </w:pPr>
      <w:r>
        <w:t>[Sponsor Logo Placeholder]</w:t>
      </w:r>
    </w:p>
    <w:p w14:paraId="291C4A38" w14:textId="77777777" w:rsidR="00EC061C" w:rsidRPr="00B25809" w:rsidRDefault="00EC061C" w:rsidP="00EC061C">
      <w:pPr>
        <w:pStyle w:val="V-BodyText"/>
      </w:pPr>
      <w:r>
        <w:t>Example 2:</w:t>
      </w:r>
      <w:r>
        <w:tab/>
        <w:t>Late-phase (Phase 3, randomized, double-blind, placebo-controlled combination)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7"/>
        <w:gridCol w:w="6293"/>
      </w:tblGrid>
      <w:tr w:rsidR="00EC061C" w14:paraId="7428D2AC" w14:textId="77777777" w:rsidTr="00B57F24">
        <w:tc>
          <w:tcPr>
            <w:tcW w:w="5000" w:type="pct"/>
            <w:gridSpan w:val="2"/>
            <w:vAlign w:val="center"/>
          </w:tcPr>
          <w:p w14:paraId="3D5800F0" w14:textId="77777777" w:rsidR="00EC061C" w:rsidRPr="009A4B10" w:rsidRDefault="00EC061C" w:rsidP="002F5BC5">
            <w:pPr>
              <w:jc w:val="center"/>
              <w:rPr>
                <w:sz w:val="28"/>
                <w:szCs w:val="28"/>
              </w:rPr>
            </w:pPr>
            <w:r>
              <w:rPr>
                <w:b/>
                <w:bCs/>
                <w:sz w:val="28"/>
                <w:szCs w:val="28"/>
              </w:rPr>
              <w:t>CLINICAL STUDY PROTOCOL</w:t>
            </w:r>
          </w:p>
        </w:tc>
      </w:tr>
      <w:tr w:rsidR="00EC061C" w14:paraId="639AAD32" w14:textId="77777777" w:rsidTr="00B57F24">
        <w:tc>
          <w:tcPr>
            <w:tcW w:w="1635" w:type="pct"/>
          </w:tcPr>
          <w:p w14:paraId="5D27085E" w14:textId="77777777" w:rsidR="00EC061C" w:rsidRPr="00C15D34" w:rsidRDefault="00EC061C" w:rsidP="00C15D34">
            <w:pPr>
              <w:pStyle w:val="V-TitleLabel"/>
            </w:pPr>
            <w:r>
              <w:t>Study Title:</w:t>
            </w:r>
          </w:p>
        </w:tc>
        <w:tc>
          <w:tcPr>
            <w:tcW w:w="3365" w:type="pct"/>
            <w:vAlign w:val="center"/>
          </w:tcPr>
          <w:p w14:paraId="3D78EFF7" w14:textId="77777777" w:rsidR="00EC061C" w:rsidRPr="00C15D34" w:rsidRDefault="00EC061C" w:rsidP="00C15D34">
            <w:pPr>
              <w:pStyle w:val="V-TitleValue"/>
            </w:pPr>
            <w:r>
              <w:t>A Phase 3, Randomized, Double-Blind, Placebo-Controlled Study of DRUG‑123 Plus Platinum-Based Chemotherapy Versus Placebo Plus Platinum-Based Chemotherapy in Patients with Disease Indication</w:t>
            </w:r>
          </w:p>
        </w:tc>
      </w:tr>
      <w:tr w:rsidR="00EC061C" w14:paraId="6E10A553" w14:textId="77777777" w:rsidTr="00B57F24">
        <w:tc>
          <w:tcPr>
            <w:tcW w:w="1635" w:type="pct"/>
          </w:tcPr>
          <w:p w14:paraId="3FF34888" w14:textId="77777777" w:rsidR="00EC061C" w:rsidRPr="00C15D34" w:rsidRDefault="00EC061C" w:rsidP="00C15D34">
            <w:pPr>
              <w:pStyle w:val="V-TitleLabel"/>
            </w:pPr>
            <w:r>
              <w:t>Brief Title / Study Acronym:</w:t>
            </w:r>
          </w:p>
        </w:tc>
        <w:tc>
          <w:tcPr>
            <w:tcW w:w="3365" w:type="pct"/>
            <w:vAlign w:val="center"/>
          </w:tcPr>
          <w:p w14:paraId="73325C6D" w14:textId="77777777" w:rsidR="00EC061C" w:rsidRPr="00C15D34" w:rsidRDefault="00EC061C" w:rsidP="00C15D34">
            <w:pPr>
              <w:pStyle w:val="V-TitleValue"/>
            </w:pPr>
            <w:r>
              <w:t>A Study of DRUG‑123 Plus Chemotherapy in Disease Indication</w:t>
            </w:r>
          </w:p>
        </w:tc>
      </w:tr>
      <w:tr w:rsidR="00EC061C" w14:paraId="74E26950" w14:textId="77777777" w:rsidTr="00B57F24">
        <w:tc>
          <w:tcPr>
            <w:tcW w:w="1635" w:type="pct"/>
          </w:tcPr>
          <w:p w14:paraId="0FA3585E" w14:textId="77777777" w:rsidR="00EC061C" w:rsidRPr="00C15D34" w:rsidRDefault="00EC061C" w:rsidP="00C15D34">
            <w:pPr>
              <w:pStyle w:val="V-TitleLabel"/>
            </w:pPr>
            <w:r>
              <w:t>Protocol Number:</w:t>
            </w:r>
          </w:p>
        </w:tc>
        <w:tc>
          <w:tcPr>
            <w:tcW w:w="3365" w:type="pct"/>
          </w:tcPr>
          <w:p w14:paraId="0881C154" w14:textId="77777777" w:rsidR="00EC061C" w:rsidRPr="00C15D34" w:rsidRDefault="00EC061C" w:rsidP="00C15D34">
            <w:pPr>
              <w:pStyle w:val="V-TitleValue"/>
            </w:pPr>
            <w:r>
              <w:t>Study DRUG‑123-301</w:t>
            </w:r>
          </w:p>
        </w:tc>
      </w:tr>
      <w:tr w:rsidR="00EC061C" w14:paraId="30AA44B8" w14:textId="77777777" w:rsidTr="00B57F24">
        <w:tc>
          <w:tcPr>
            <w:tcW w:w="1635" w:type="pct"/>
          </w:tcPr>
          <w:p w14:paraId="2CEF0BF0" w14:textId="77777777" w:rsidR="00EC061C" w:rsidRPr="00C15D34" w:rsidRDefault="00EC061C" w:rsidP="00C15D34">
            <w:pPr>
              <w:pStyle w:val="V-tablerowheader"/>
              <w:rPr>
                <w:sz w:val="22"/>
                <w:szCs w:val="22"/>
              </w:rPr>
            </w:pPr>
            <w:r>
              <w:rPr>
                <w:sz w:val="22"/>
                <w:szCs w:val="22"/>
              </w:rPr>
              <w:t>Investigational Product (IP):</w:t>
            </w:r>
          </w:p>
        </w:tc>
        <w:tc>
          <w:tcPr>
            <w:tcW w:w="3365" w:type="pct"/>
          </w:tcPr>
          <w:p w14:paraId="69A9C2FD" w14:textId="77777777" w:rsidR="00EC061C" w:rsidRPr="00C15D34" w:rsidRDefault="00EC061C" w:rsidP="00C15D34">
            <w:pPr>
              <w:pStyle w:val="V-TitleValue"/>
            </w:pPr>
            <w:r>
              <w:t>DRUG‑123</w:t>
            </w:r>
          </w:p>
        </w:tc>
      </w:tr>
      <w:tr w:rsidR="00EC061C" w14:paraId="61B79335" w14:textId="77777777" w:rsidTr="00B57F24">
        <w:tc>
          <w:tcPr>
            <w:tcW w:w="1635" w:type="pct"/>
          </w:tcPr>
          <w:p w14:paraId="0F1B1466" w14:textId="77777777" w:rsidR="00EC061C" w:rsidRPr="00C15D34" w:rsidRDefault="00EC061C" w:rsidP="00C15D34">
            <w:pPr>
              <w:pStyle w:val="V-tablerowheader"/>
              <w:rPr>
                <w:sz w:val="22"/>
                <w:szCs w:val="22"/>
              </w:rPr>
            </w:pPr>
            <w:r>
              <w:rPr>
                <w:sz w:val="22"/>
                <w:szCs w:val="22"/>
              </w:rPr>
              <w:t>Study Phase:</w:t>
            </w:r>
          </w:p>
        </w:tc>
        <w:tc>
          <w:tcPr>
            <w:tcW w:w="3365" w:type="pct"/>
            <w:vAlign w:val="center"/>
          </w:tcPr>
          <w:p w14:paraId="1CEA4075" w14:textId="77777777" w:rsidR="00EC061C" w:rsidRPr="00C15D34" w:rsidRDefault="00EC061C" w:rsidP="00C15D34">
            <w:pPr>
              <w:pStyle w:val="V-tablecellleft"/>
              <w:rPr>
                <w:sz w:val="22"/>
                <w:szCs w:val="22"/>
              </w:rPr>
            </w:pPr>
            <w:r>
              <w:rPr>
                <w:sz w:val="22"/>
                <w:szCs w:val="22"/>
              </w:rPr>
              <w:t>Phase 3</w:t>
            </w:r>
          </w:p>
        </w:tc>
      </w:tr>
      <w:tr w:rsidR="00EC061C" w14:paraId="09E8DE5D" w14:textId="77777777" w:rsidTr="00B57F24">
        <w:tc>
          <w:tcPr>
            <w:tcW w:w="1635" w:type="pct"/>
          </w:tcPr>
          <w:p w14:paraId="5A9735C3" w14:textId="77777777" w:rsidR="00EC061C" w:rsidRPr="00C15D34" w:rsidRDefault="00EC061C" w:rsidP="00C15D34">
            <w:pPr>
              <w:pStyle w:val="V-tablerowheader"/>
              <w:rPr>
                <w:sz w:val="22"/>
                <w:szCs w:val="22"/>
              </w:rPr>
            </w:pPr>
            <w:r>
              <w:rPr>
                <w:sz w:val="22"/>
                <w:szCs w:val="22"/>
              </w:rPr>
              <w:t>Indication / Population:</w:t>
            </w:r>
          </w:p>
        </w:tc>
        <w:tc>
          <w:tcPr>
            <w:tcW w:w="3365" w:type="pct"/>
            <w:vAlign w:val="center"/>
          </w:tcPr>
          <w:p w14:paraId="75F66E0D" w14:textId="77777777" w:rsidR="00EC061C" w:rsidRPr="00C15D34" w:rsidRDefault="00EC061C" w:rsidP="00C15D34">
            <w:pPr>
              <w:pStyle w:val="V-tablecellleft"/>
              <w:rPr>
                <w:sz w:val="22"/>
                <w:szCs w:val="22"/>
              </w:rPr>
            </w:pPr>
            <w:r>
              <w:rPr>
                <w:sz w:val="22"/>
                <w:szCs w:val="22"/>
              </w:rPr>
              <w:t>disease indication in adult patients</w:t>
            </w:r>
          </w:p>
        </w:tc>
      </w:tr>
      <w:tr w:rsidR="00EC061C" w14:paraId="4401C3A4" w14:textId="77777777" w:rsidTr="00B57F24">
        <w:tc>
          <w:tcPr>
            <w:tcW w:w="1635" w:type="pct"/>
          </w:tcPr>
          <w:p w14:paraId="45A75001" w14:textId="77777777" w:rsidR="00EC061C" w:rsidRPr="00C15D34" w:rsidRDefault="00EC061C" w:rsidP="00C15D34">
            <w:pPr>
              <w:pStyle w:val="V-tablerowheader"/>
              <w:rPr>
                <w:sz w:val="22"/>
                <w:szCs w:val="22"/>
              </w:rPr>
            </w:pPr>
            <w:r>
              <w:rPr>
                <w:sz w:val="22"/>
                <w:szCs w:val="22"/>
              </w:rPr>
              <w:t>Regulatory / Study Identifier(s):</w:t>
            </w:r>
          </w:p>
        </w:tc>
        <w:tc>
          <w:tcPr>
            <w:tcW w:w="3365" w:type="pct"/>
          </w:tcPr>
          <w:p w14:paraId="3EB5155F" w14:textId="77777777" w:rsidR="00EC061C" w:rsidRPr="00C15D34" w:rsidRDefault="00EC061C" w:rsidP="00C15D34">
            <w:pPr>
              <w:pStyle w:val="V-tablecellleft"/>
              <w:rPr>
                <w:sz w:val="22"/>
                <w:szCs w:val="22"/>
              </w:rPr>
            </w:pPr>
            <w:r>
              <w:rPr>
                <w:sz w:val="22"/>
                <w:szCs w:val="22"/>
              </w:rPr>
              <w:t>IND XXXXXX; EU CT XXXX-XXXXXX-XX-XX; NCT XXXXXXXX</w:t>
            </w:r>
          </w:p>
        </w:tc>
      </w:tr>
      <w:tr w:rsidR="00EC061C" w14:paraId="1DCA2DB1" w14:textId="77777777" w:rsidTr="00B57F24">
        <w:tc>
          <w:tcPr>
            <w:tcW w:w="1635" w:type="pct"/>
          </w:tcPr>
          <w:p w14:paraId="12BB3429" w14:textId="77777777" w:rsidR="00EC061C" w:rsidRPr="00C15D34" w:rsidRDefault="00EC061C" w:rsidP="00C15D34">
            <w:pPr>
              <w:pStyle w:val="V-tablerowheader"/>
              <w:rPr>
                <w:sz w:val="22"/>
                <w:szCs w:val="22"/>
              </w:rPr>
            </w:pPr>
            <w:r>
              <w:rPr>
                <w:sz w:val="22"/>
                <w:szCs w:val="22"/>
              </w:rPr>
              <w:t>Sponsor Name and Address:</w:t>
            </w:r>
          </w:p>
        </w:tc>
        <w:tc>
          <w:tcPr>
            <w:tcW w:w="3365" w:type="pct"/>
          </w:tcPr>
          <w:p w14:paraId="32CCCA9C" w14:textId="77777777" w:rsidR="00EC061C" w:rsidRPr="00C15D34" w:rsidRDefault="00EC061C" w:rsidP="00C15D34">
            <w:pPr>
              <w:pStyle w:val="V-tablecellleft"/>
              <w:rPr>
                <w:sz w:val="22"/>
                <w:szCs w:val="22"/>
              </w:rPr>
            </w:pPr>
            <w:r>
              <w:rPr>
                <w:sz w:val="22"/>
                <w:szCs w:val="22"/>
              </w:rPr>
              <w:t>Sponsor Pharmaceuticals Inc.</w:t>
            </w:r>
          </w:p>
          <w:p w14:paraId="7585819C" w14:textId="77777777" w:rsidR="00EC061C" w:rsidRPr="00C15D34" w:rsidRDefault="00EC061C" w:rsidP="00C15D34">
            <w:pPr>
              <w:pStyle w:val="V-tablecellleft"/>
              <w:rPr>
                <w:sz w:val="22"/>
                <w:szCs w:val="22"/>
              </w:rPr>
            </w:pPr>
            <w:r>
              <w:rPr>
                <w:sz w:val="22"/>
                <w:szCs w:val="22"/>
              </w:rPr>
              <w:t>1234 Sponsor Way, Sponsor City, ST 00000</w:t>
            </w:r>
          </w:p>
        </w:tc>
      </w:tr>
      <w:tr w:rsidR="00EC061C" w14:paraId="10FA2F12" w14:textId="77777777" w:rsidTr="00B57F24">
        <w:tc>
          <w:tcPr>
            <w:tcW w:w="1635" w:type="pct"/>
          </w:tcPr>
          <w:p w14:paraId="7047A80E" w14:textId="77777777" w:rsidR="00EC061C" w:rsidRPr="00C15D34" w:rsidRDefault="00EC061C" w:rsidP="00C15D34">
            <w:pPr>
              <w:pStyle w:val="V-tablerowheader"/>
              <w:rPr>
                <w:sz w:val="22"/>
                <w:szCs w:val="22"/>
              </w:rPr>
            </w:pPr>
            <w:r>
              <w:rPr>
                <w:sz w:val="22"/>
                <w:szCs w:val="22"/>
              </w:rPr>
              <w:t>Sponsor's Responsible Medical Officer:</w:t>
            </w:r>
          </w:p>
        </w:tc>
        <w:tc>
          <w:tcPr>
            <w:tcW w:w="3365" w:type="pct"/>
          </w:tcPr>
          <w:p w14:paraId="0807093D" w14:textId="77777777" w:rsidR="00EC061C" w:rsidRPr="00C15D34" w:rsidRDefault="00EC061C" w:rsidP="00C15D34">
            <w:pPr>
              <w:pStyle w:val="V-tablecellleft"/>
              <w:rPr>
                <w:sz w:val="22"/>
                <w:szCs w:val="22"/>
              </w:rPr>
            </w:pPr>
            <w:r>
              <w:rPr>
                <w:sz w:val="22"/>
                <w:szCs w:val="22"/>
              </w:rPr>
              <w:t>[Name, title, telephone, email, or state where the information can be found]</w:t>
            </w:r>
          </w:p>
        </w:tc>
      </w:tr>
      <w:tr w:rsidR="00EC061C" w14:paraId="7B1D34A9" w14:textId="77777777" w:rsidTr="00B57F24">
        <w:tc>
          <w:tcPr>
            <w:tcW w:w="1635" w:type="pct"/>
          </w:tcPr>
          <w:p w14:paraId="68EC8B12" w14:textId="77777777" w:rsidR="00EC061C" w:rsidRPr="00C15D34" w:rsidRDefault="00EC061C" w:rsidP="00C15D34">
            <w:pPr>
              <w:pStyle w:val="V-tablerowheader"/>
              <w:rPr>
                <w:sz w:val="22"/>
                <w:szCs w:val="22"/>
              </w:rPr>
            </w:pPr>
            <w:r>
              <w:rPr>
                <w:sz w:val="22"/>
                <w:szCs w:val="22"/>
              </w:rPr>
              <w:t>Protocol Version Number/</w:t>
            </w:r>
            <w:r>
              <w:rPr>
                <w:sz w:val="22"/>
                <w:szCs w:val="22"/>
              </w:rPr>
              <w:br/>
              <w:t>Amendment Number:</w:t>
            </w:r>
          </w:p>
        </w:tc>
        <w:tc>
          <w:tcPr>
            <w:tcW w:w="3365" w:type="pct"/>
          </w:tcPr>
          <w:p w14:paraId="55A020F5" w14:textId="77777777" w:rsidR="00EC061C" w:rsidRPr="00C15D34" w:rsidRDefault="00EC061C" w:rsidP="00C15D34">
            <w:pPr>
              <w:pStyle w:val="V-tablecellleft"/>
              <w:rPr>
                <w:sz w:val="22"/>
                <w:szCs w:val="22"/>
              </w:rPr>
            </w:pPr>
            <w:r>
              <w:rPr>
                <w:sz w:val="22"/>
                <w:szCs w:val="22"/>
              </w:rPr>
              <w:t>Version 1.0</w:t>
            </w:r>
          </w:p>
        </w:tc>
      </w:tr>
      <w:tr w:rsidR="00EC061C" w14:paraId="1626CA09" w14:textId="77777777" w:rsidTr="00B57F24">
        <w:tc>
          <w:tcPr>
            <w:tcW w:w="1635" w:type="pct"/>
          </w:tcPr>
          <w:p w14:paraId="2A7A398C" w14:textId="77777777" w:rsidR="00EC061C" w:rsidRPr="00C15D34" w:rsidRDefault="00EC061C" w:rsidP="00C15D34">
            <w:pPr>
              <w:pStyle w:val="V-tablerowheader"/>
              <w:rPr>
                <w:sz w:val="22"/>
                <w:szCs w:val="22"/>
              </w:rPr>
            </w:pPr>
            <w:r>
              <w:rPr>
                <w:sz w:val="22"/>
                <w:szCs w:val="22"/>
              </w:rPr>
              <w:t>Protocol Version Date:</w:t>
            </w:r>
          </w:p>
        </w:tc>
        <w:tc>
          <w:tcPr>
            <w:tcW w:w="3365" w:type="pct"/>
          </w:tcPr>
          <w:p w14:paraId="2DFE76F8" w14:textId="77777777" w:rsidR="00EC061C" w:rsidRPr="00C15D34" w:rsidRDefault="00EC061C" w:rsidP="00C15D34">
            <w:pPr>
              <w:pStyle w:val="V-tablecellleft"/>
              <w:rPr>
                <w:sz w:val="22"/>
                <w:szCs w:val="22"/>
              </w:rPr>
            </w:pPr>
            <w:r>
              <w:rPr>
                <w:sz w:val="22"/>
                <w:szCs w:val="22"/>
              </w:rPr>
              <w:t>[DD MON YYYY]</w:t>
            </w:r>
          </w:p>
        </w:tc>
      </w:tr>
    </w:tbl>
    <w:p w14:paraId="692168C0" w14:textId="77777777" w:rsidR="00EC061C" w:rsidRPr="00C15D34" w:rsidRDefault="00EC061C" w:rsidP="00C15D34">
      <w:pPr>
        <w:pStyle w:val="V-ConfidentialityHeading"/>
      </w:pPr>
      <w:r>
        <w:t>Confidentiality Statement</w:t>
      </w:r>
    </w:p>
    <w:p w14:paraId="41BC7168" w14:textId="77777777" w:rsidR="00EC061C" w:rsidRDefault="00C15D34" w:rsidP="00EC061C">
      <w:pPr>
        <w:pStyle w:val="V-Confidentiality"/>
        <w:jc w:val="left"/>
      </w:pPr>
      <w:r>
        <w:t>This document and all information relating to it are the confidential and proprietary property of Sponsor Pharmaceuticals Inc. It may not be reproduced or disclosed to anyone other than those directly involved in the study without prior written authorization, except as required by an Institutional Review Board, Independent Ethics Committee, Regulatory Authority, or applicable law.</w:t>
      </w:r>
      <w:r>
        <w:br w:type="page"/>
      </w:r>
    </w:p>
    <w:p w14:paraId="75576C95" w14:textId="77777777" w:rsidR="008F65FC" w:rsidRDefault="005F45D2" w:rsidP="00A8228A">
      <w:pPr>
        <w:pStyle w:val="Heading1un-numbered"/>
        <w:ind w:firstLine="0"/>
      </w:pPr>
      <w:bookmarkStart w:id="0" w:name="_Toc233801653"/>
      <w:r>
        <w:lastRenderedPageBreak/>
        <w:t>SPONSOR’S APPROVAL PAGE</w:t>
      </w:r>
      <w:bookmarkEnd w:id="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7"/>
        <w:gridCol w:w="6293"/>
      </w:tblGrid>
      <w:tr w:rsidR="00CE6191" w14:paraId="6380D750" w14:textId="77777777" w:rsidTr="00B57F24">
        <w:tc>
          <w:tcPr>
            <w:tcW w:w="1635" w:type="pct"/>
          </w:tcPr>
          <w:p w14:paraId="35ED8D1C" w14:textId="77777777" w:rsidR="00CE6191" w:rsidRDefault="00CE6191" w:rsidP="00C15D34">
            <w:pPr>
              <w:pStyle w:val="V-TitleLabel"/>
            </w:pPr>
            <w:r>
              <w:t>Protocol Number:</w:t>
            </w:r>
          </w:p>
        </w:tc>
        <w:tc>
          <w:tcPr>
            <w:tcW w:w="3365" w:type="pct"/>
          </w:tcPr>
          <w:p w14:paraId="754B441C" w14:textId="77777777" w:rsidR="00CE6191" w:rsidRDefault="00CE6191" w:rsidP="00C15D34">
            <w:pPr>
              <w:pStyle w:val="V-TitleValue"/>
            </w:pPr>
            <w:r>
              <w:t>Study DRUG‑123-301</w:t>
            </w:r>
          </w:p>
        </w:tc>
      </w:tr>
      <w:tr w:rsidR="00CE6191" w14:paraId="45E1C2B8" w14:textId="77777777" w:rsidTr="00B57F24">
        <w:tc>
          <w:tcPr>
            <w:tcW w:w="1635" w:type="pct"/>
          </w:tcPr>
          <w:p w14:paraId="60D0FC8A" w14:textId="77777777" w:rsidR="00CE6191" w:rsidRDefault="00CE6191" w:rsidP="00C15D34">
            <w:pPr>
              <w:pStyle w:val="V-TitleLabel"/>
            </w:pPr>
            <w:r>
              <w:t>Study Title:</w:t>
            </w:r>
          </w:p>
        </w:tc>
        <w:tc>
          <w:tcPr>
            <w:tcW w:w="3365" w:type="pct"/>
            <w:vAlign w:val="center"/>
          </w:tcPr>
          <w:p w14:paraId="4C752A3A" w14:textId="77777777" w:rsidR="00CE6191" w:rsidRDefault="00CE6191" w:rsidP="00C15D34">
            <w:pPr>
              <w:pStyle w:val="V-TitleValue"/>
            </w:pPr>
            <w:r>
              <w:t>A Phase 3, Randomized, Double-Blind, Placebo-Controlled Study of DRUG‑123 Plus Platinum-Based Chemotherapy Versus Placebo Plus Platinum-Based Chemotherapy in Patients with Disease Indication</w:t>
            </w:r>
          </w:p>
        </w:tc>
      </w:tr>
      <w:tr w:rsidR="00CE6191" w14:paraId="2B2CA894" w14:textId="77777777" w:rsidTr="00B57F24">
        <w:tc>
          <w:tcPr>
            <w:tcW w:w="1635" w:type="pct"/>
          </w:tcPr>
          <w:p w14:paraId="00F7E9E9" w14:textId="77777777" w:rsidR="00CE6191" w:rsidRDefault="00CE6191" w:rsidP="00C15D34">
            <w:pPr>
              <w:pStyle w:val="V-TitleLabel"/>
            </w:pPr>
            <w:r>
              <w:t>Protocol Version Number:</w:t>
            </w:r>
          </w:p>
        </w:tc>
        <w:tc>
          <w:tcPr>
            <w:tcW w:w="3365" w:type="pct"/>
          </w:tcPr>
          <w:p w14:paraId="41D533AF" w14:textId="77777777" w:rsidR="00CE6191" w:rsidRDefault="00CE6191" w:rsidP="00C15D34">
            <w:pPr>
              <w:pStyle w:val="V-TitleValue"/>
            </w:pPr>
            <w:r>
              <w:t>Version 1.0</w:t>
            </w:r>
          </w:p>
        </w:tc>
      </w:tr>
      <w:tr w:rsidR="00CE6191" w14:paraId="1B798F58" w14:textId="77777777" w:rsidTr="00B57F24">
        <w:tc>
          <w:tcPr>
            <w:tcW w:w="1635" w:type="pct"/>
          </w:tcPr>
          <w:p w14:paraId="6B4BF933" w14:textId="77777777" w:rsidR="00CE6191" w:rsidRDefault="00CE6191" w:rsidP="00C15D34">
            <w:pPr>
              <w:pStyle w:val="V-TitleLabel"/>
            </w:pPr>
            <w:r>
              <w:t>Protocol Version Date:</w:t>
            </w:r>
          </w:p>
        </w:tc>
        <w:tc>
          <w:tcPr>
            <w:tcW w:w="3365" w:type="pct"/>
          </w:tcPr>
          <w:p w14:paraId="5CA405A6" w14:textId="77777777" w:rsidR="00CE6191" w:rsidRDefault="00CE6191" w:rsidP="00C15D34">
            <w:pPr>
              <w:pStyle w:val="V-TitleValue"/>
            </w:pPr>
            <w:r>
              <w:t>[DD MON YYYY]</w:t>
            </w:r>
          </w:p>
        </w:tc>
      </w:tr>
    </w:tbl>
    <w:p w14:paraId="217CD4E0" w14:textId="77777777" w:rsidR="008F65FC" w:rsidRDefault="00000000">
      <w:pPr>
        <w:pStyle w:val="V-BodyText"/>
      </w:pPr>
      <w:r>
        <w:t>By signing below, the Sponsor's responsible officer approves this protocol and confirms that the study will be conducted in accordance with the protocol, ICH E6(R3) Good Clinical Practice, and applicable regulatory requirements.</w:t>
      </w:r>
    </w:p>
    <w:p w14:paraId="4CFF47CD" w14:textId="77777777" w:rsidR="005C24FA" w:rsidRDefault="005C24FA" w:rsidP="005C24FA">
      <w:pPr>
        <w:pStyle w:val="V-Body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5C24FA" w14:paraId="4E859761" w14:textId="77777777" w:rsidTr="00B57F24">
        <w:tc>
          <w:tcPr>
            <w:tcW w:w="2500" w:type="pct"/>
            <w:tcBorders>
              <w:bottom w:val="single" w:sz="4" w:space="0" w:color="auto"/>
            </w:tcBorders>
          </w:tcPr>
          <w:p w14:paraId="787266AD" w14:textId="77777777" w:rsidR="005C24FA" w:rsidRDefault="005C24FA" w:rsidP="009107D4">
            <w:pPr>
              <w:pStyle w:val="V-BodyText"/>
            </w:pPr>
          </w:p>
          <w:p w14:paraId="57D9E791" w14:textId="77777777" w:rsidR="005C24FA" w:rsidRDefault="005C24FA" w:rsidP="009107D4">
            <w:pPr>
              <w:pStyle w:val="V-BodyText"/>
            </w:pPr>
          </w:p>
        </w:tc>
        <w:tc>
          <w:tcPr>
            <w:tcW w:w="2500" w:type="pct"/>
            <w:tcBorders>
              <w:bottom w:val="single" w:sz="4" w:space="0" w:color="auto"/>
            </w:tcBorders>
          </w:tcPr>
          <w:p w14:paraId="5D959518" w14:textId="77777777" w:rsidR="005C24FA" w:rsidRDefault="005C24FA" w:rsidP="009107D4">
            <w:pPr>
              <w:pStyle w:val="V-BodyText"/>
            </w:pPr>
          </w:p>
        </w:tc>
      </w:tr>
      <w:tr w:rsidR="005C24FA" w14:paraId="6D2B3756" w14:textId="77777777" w:rsidTr="00B57F24">
        <w:tc>
          <w:tcPr>
            <w:tcW w:w="2500" w:type="pct"/>
            <w:tcBorders>
              <w:top w:val="single" w:sz="4" w:space="0" w:color="auto"/>
            </w:tcBorders>
          </w:tcPr>
          <w:p w14:paraId="760D4006" w14:textId="77777777" w:rsidR="005C24FA" w:rsidRDefault="005C24FA" w:rsidP="009107D4">
            <w:pPr>
              <w:pStyle w:val="V-BodyText"/>
              <w:spacing w:before="20" w:after="20" w:line="240" w:lineRule="auto"/>
            </w:pPr>
            <w:r>
              <w:t>Name</w:t>
            </w:r>
          </w:p>
          <w:p w14:paraId="755E1392" w14:textId="77777777" w:rsidR="005C24FA" w:rsidRDefault="005C24FA" w:rsidP="009107D4">
            <w:pPr>
              <w:pStyle w:val="V-BodyText"/>
              <w:spacing w:before="20" w:after="20" w:line="240" w:lineRule="auto"/>
            </w:pPr>
            <w:r>
              <w:t>Title</w:t>
            </w:r>
          </w:p>
        </w:tc>
        <w:tc>
          <w:tcPr>
            <w:tcW w:w="2500" w:type="pct"/>
            <w:tcBorders>
              <w:top w:val="single" w:sz="4" w:space="0" w:color="auto"/>
            </w:tcBorders>
          </w:tcPr>
          <w:p w14:paraId="3521CFBC" w14:textId="77777777" w:rsidR="005C24FA" w:rsidRDefault="005C24FA" w:rsidP="009107D4">
            <w:pPr>
              <w:pStyle w:val="V-BodyText"/>
              <w:spacing w:before="20" w:after="20" w:line="240" w:lineRule="auto"/>
            </w:pPr>
            <w:r>
              <w:t>Date</w:t>
            </w:r>
          </w:p>
        </w:tc>
      </w:tr>
      <w:tr w:rsidR="005C24FA" w14:paraId="0366D86C" w14:textId="77777777" w:rsidTr="00B57F24">
        <w:tc>
          <w:tcPr>
            <w:tcW w:w="2500" w:type="pct"/>
            <w:tcBorders>
              <w:bottom w:val="single" w:sz="4" w:space="0" w:color="auto"/>
            </w:tcBorders>
          </w:tcPr>
          <w:p w14:paraId="2DF6C87E" w14:textId="77777777" w:rsidR="005C24FA" w:rsidRDefault="005C24FA" w:rsidP="009107D4">
            <w:pPr>
              <w:pStyle w:val="V-BodyText"/>
            </w:pPr>
          </w:p>
          <w:p w14:paraId="6F7652FA" w14:textId="77777777" w:rsidR="005C24FA" w:rsidRDefault="005C24FA" w:rsidP="009107D4">
            <w:pPr>
              <w:pStyle w:val="V-BodyText"/>
            </w:pPr>
          </w:p>
        </w:tc>
        <w:tc>
          <w:tcPr>
            <w:tcW w:w="2500" w:type="pct"/>
            <w:tcBorders>
              <w:bottom w:val="single" w:sz="4" w:space="0" w:color="auto"/>
            </w:tcBorders>
          </w:tcPr>
          <w:p w14:paraId="295A2C6B" w14:textId="77777777" w:rsidR="005C24FA" w:rsidRDefault="005C24FA" w:rsidP="009107D4">
            <w:pPr>
              <w:pStyle w:val="V-BodyText"/>
            </w:pPr>
          </w:p>
        </w:tc>
      </w:tr>
      <w:tr w:rsidR="005C24FA" w14:paraId="5FE4B049" w14:textId="77777777" w:rsidTr="00B57F24">
        <w:tc>
          <w:tcPr>
            <w:tcW w:w="2500" w:type="pct"/>
            <w:tcBorders>
              <w:top w:val="single" w:sz="4" w:space="0" w:color="auto"/>
            </w:tcBorders>
          </w:tcPr>
          <w:p w14:paraId="1B8948A8" w14:textId="77777777" w:rsidR="005C24FA" w:rsidRDefault="005C24FA" w:rsidP="009107D4">
            <w:pPr>
              <w:pStyle w:val="V-BodyText"/>
              <w:spacing w:before="20" w:after="20" w:line="240" w:lineRule="auto"/>
            </w:pPr>
            <w:r>
              <w:t>Name</w:t>
            </w:r>
          </w:p>
          <w:p w14:paraId="7CB508F4" w14:textId="77777777" w:rsidR="005C24FA" w:rsidRDefault="005C24FA" w:rsidP="009107D4">
            <w:pPr>
              <w:pStyle w:val="V-BodyText"/>
              <w:spacing w:before="20" w:after="20" w:line="240" w:lineRule="auto"/>
            </w:pPr>
            <w:r>
              <w:t>Title</w:t>
            </w:r>
          </w:p>
        </w:tc>
        <w:tc>
          <w:tcPr>
            <w:tcW w:w="2500" w:type="pct"/>
            <w:tcBorders>
              <w:top w:val="single" w:sz="4" w:space="0" w:color="auto"/>
            </w:tcBorders>
          </w:tcPr>
          <w:p w14:paraId="4825741F" w14:textId="77777777" w:rsidR="005C24FA" w:rsidRDefault="005C24FA" w:rsidP="009107D4">
            <w:pPr>
              <w:pStyle w:val="V-BodyText"/>
              <w:spacing w:before="20" w:after="20" w:line="240" w:lineRule="auto"/>
            </w:pPr>
            <w:r>
              <w:t>Date</w:t>
            </w:r>
          </w:p>
        </w:tc>
      </w:tr>
    </w:tbl>
    <w:p w14:paraId="634BD75B" w14:textId="77777777" w:rsidR="00CE6191" w:rsidRDefault="00CE6191">
      <w:pPr>
        <w:pStyle w:val="V-BodyText"/>
      </w:pPr>
    </w:p>
    <w:p w14:paraId="6F919B0B" w14:textId="77777777" w:rsidR="00CE6191" w:rsidRDefault="00CE6191">
      <w:pPr>
        <w:pStyle w:val="V-BodyText"/>
      </w:pPr>
    </w:p>
    <w:p w14:paraId="3FF5DECC" w14:textId="77777777" w:rsidR="008F65FC" w:rsidRDefault="005F45D2" w:rsidP="00A8228A">
      <w:pPr>
        <w:pStyle w:val="Heading1un-numbered"/>
        <w:pageBreakBefore/>
      </w:pPr>
      <w:bookmarkStart w:id="1" w:name="_Toc233801654"/>
      <w:r>
        <w:lastRenderedPageBreak/>
        <w:t xml:space="preserve">CONFIDENTIALITY AND INVESTIGATOR SIGNATURE </w:t>
      </w:r>
      <w:r>
        <w:rPr>
          <w:i/>
          <w:iCs/>
          <w:color w:val="808080" w:themeColor="background1" w:themeShade="80"/>
        </w:rPr>
        <w:t>(OPTIONAL)</w:t>
      </w:r>
      <w:bookmarkEnd w:id="1"/>
    </w:p>
    <w:p w14:paraId="5670FDDE" w14:textId="77777777" w:rsidR="008F65FC" w:rsidRDefault="00000000">
      <w:pPr>
        <w:pStyle w:val="V-Guidance"/>
      </w:pPr>
      <w:r>
        <w:t xml:space="preserve">The Investigator Signature (Agreement) page is included for sponsors that require a signed investigator agreement; it is not required by ICH M11 and Sponsors often have a separate Investigator acknowledgement agreement, outside of the protocol.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7"/>
        <w:gridCol w:w="6293"/>
      </w:tblGrid>
      <w:tr w:rsidR="00CE6191" w14:paraId="17CD7702" w14:textId="77777777" w:rsidTr="00B57F24">
        <w:tc>
          <w:tcPr>
            <w:tcW w:w="1635" w:type="pct"/>
          </w:tcPr>
          <w:p w14:paraId="47C80B9C" w14:textId="77777777" w:rsidR="00CE6191" w:rsidRDefault="00CE6191" w:rsidP="00C15D34">
            <w:pPr>
              <w:pStyle w:val="V-TitleLabel"/>
            </w:pPr>
            <w:r>
              <w:t>Protocol Number:</w:t>
            </w:r>
          </w:p>
        </w:tc>
        <w:tc>
          <w:tcPr>
            <w:tcW w:w="3365" w:type="pct"/>
          </w:tcPr>
          <w:p w14:paraId="607230F8" w14:textId="77777777" w:rsidR="00CE6191" w:rsidRDefault="00CE6191" w:rsidP="00C15D34">
            <w:pPr>
              <w:pStyle w:val="V-TitleValue"/>
            </w:pPr>
            <w:r>
              <w:t>Study DRUG‑123-301</w:t>
            </w:r>
          </w:p>
        </w:tc>
      </w:tr>
      <w:tr w:rsidR="00CE6191" w14:paraId="18F90F96" w14:textId="77777777" w:rsidTr="00B57F24">
        <w:tc>
          <w:tcPr>
            <w:tcW w:w="1635" w:type="pct"/>
          </w:tcPr>
          <w:p w14:paraId="405B4432" w14:textId="77777777" w:rsidR="00CE6191" w:rsidRDefault="00CE6191" w:rsidP="00C15D34">
            <w:pPr>
              <w:pStyle w:val="V-TitleLabel"/>
            </w:pPr>
            <w:r>
              <w:t>Study Title:</w:t>
            </w:r>
          </w:p>
        </w:tc>
        <w:tc>
          <w:tcPr>
            <w:tcW w:w="3365" w:type="pct"/>
            <w:vAlign w:val="center"/>
          </w:tcPr>
          <w:p w14:paraId="0853FC0C" w14:textId="77777777" w:rsidR="00CE6191" w:rsidRDefault="00CE6191" w:rsidP="00C15D34">
            <w:pPr>
              <w:pStyle w:val="V-TitleValue"/>
            </w:pPr>
            <w:r>
              <w:t>A Phase 3, Randomized, Double-Blind, Placebo-Controlled Study of DRUG‑123 Plus Platinum-Based Chemotherapy Versus Placebo Plus Platinum-Based Chemotherapy in Patients with Disease Indication</w:t>
            </w:r>
          </w:p>
        </w:tc>
      </w:tr>
      <w:tr w:rsidR="00CE6191" w14:paraId="529350EB" w14:textId="77777777" w:rsidTr="00B57F24">
        <w:tc>
          <w:tcPr>
            <w:tcW w:w="1635" w:type="pct"/>
          </w:tcPr>
          <w:p w14:paraId="25D79BF3" w14:textId="77777777" w:rsidR="00CE6191" w:rsidRDefault="00CE6191" w:rsidP="00C15D34">
            <w:pPr>
              <w:pStyle w:val="V-TitleLabel"/>
            </w:pPr>
            <w:r>
              <w:t>Protocol Version Number:</w:t>
            </w:r>
          </w:p>
        </w:tc>
        <w:tc>
          <w:tcPr>
            <w:tcW w:w="3365" w:type="pct"/>
          </w:tcPr>
          <w:p w14:paraId="5B86846E" w14:textId="77777777" w:rsidR="00CE6191" w:rsidRDefault="00CE6191" w:rsidP="00C15D34">
            <w:pPr>
              <w:pStyle w:val="V-TitleValue"/>
            </w:pPr>
            <w:r>
              <w:t>Version 1.0</w:t>
            </w:r>
          </w:p>
        </w:tc>
      </w:tr>
      <w:tr w:rsidR="00CE6191" w14:paraId="2DFE97DE" w14:textId="77777777" w:rsidTr="00B57F24">
        <w:tc>
          <w:tcPr>
            <w:tcW w:w="1635" w:type="pct"/>
          </w:tcPr>
          <w:p w14:paraId="789422DB" w14:textId="77777777" w:rsidR="00CE6191" w:rsidRDefault="00CE6191" w:rsidP="00C15D34">
            <w:pPr>
              <w:pStyle w:val="V-TitleLabel"/>
            </w:pPr>
            <w:r>
              <w:t>Protocol Version Date:</w:t>
            </w:r>
          </w:p>
        </w:tc>
        <w:tc>
          <w:tcPr>
            <w:tcW w:w="3365" w:type="pct"/>
          </w:tcPr>
          <w:p w14:paraId="660A2371" w14:textId="77777777" w:rsidR="00CE6191" w:rsidRDefault="00CE6191" w:rsidP="00C15D34">
            <w:pPr>
              <w:pStyle w:val="V-TitleValue"/>
            </w:pPr>
            <w:r>
              <w:t>[DD MON YYYY]</w:t>
            </w:r>
          </w:p>
        </w:tc>
      </w:tr>
    </w:tbl>
    <w:p w14:paraId="1B14F61E" w14:textId="77777777" w:rsidR="005C24FA" w:rsidRDefault="00000000" w:rsidP="005C24FA">
      <w:pPr>
        <w:pStyle w:val="V-BodyText"/>
      </w:pPr>
      <w:r>
        <w:rPr>
          <w:b/>
          <w:bCs/>
        </w:rPr>
        <w:t>Investigator Statement</w:t>
      </w:r>
      <w:r>
        <w:t>: I have read and reviewed the above-named protocol, including all appendices and any amendments. I agree to conduct the study in accordance with the protocol, ICH E6(R3) Good Clinical Practice, the Declaration of Helsinki, applicable regulatory requirements (including, in the United States, 21 CFR Parts 50, 54, 56, and 312), the requirements of the reviewing IRB or IEC, and all applicable laws and regulations.</w:t>
      </w:r>
    </w:p>
    <w:p w14:paraId="0E32A7E8" w14:textId="77777777" w:rsidR="005C24FA" w:rsidRDefault="005C24FA" w:rsidP="005C24FA">
      <w:pPr>
        <w:pStyle w:val="V-Body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5C24FA" w14:paraId="6CFAF6EF" w14:textId="77777777" w:rsidTr="00B57F24">
        <w:tc>
          <w:tcPr>
            <w:tcW w:w="2500" w:type="pct"/>
            <w:tcBorders>
              <w:bottom w:val="single" w:sz="4" w:space="0" w:color="auto"/>
            </w:tcBorders>
          </w:tcPr>
          <w:p w14:paraId="48601BF0" w14:textId="77777777" w:rsidR="005C24FA" w:rsidRDefault="005C24FA" w:rsidP="009107D4">
            <w:pPr>
              <w:pStyle w:val="V-BodyText"/>
            </w:pPr>
          </w:p>
          <w:p w14:paraId="2A1CA9EB" w14:textId="77777777" w:rsidR="005C24FA" w:rsidRDefault="005C24FA" w:rsidP="009107D4">
            <w:pPr>
              <w:pStyle w:val="V-BodyText"/>
            </w:pPr>
          </w:p>
        </w:tc>
        <w:tc>
          <w:tcPr>
            <w:tcW w:w="2500" w:type="pct"/>
            <w:tcBorders>
              <w:bottom w:val="single" w:sz="4" w:space="0" w:color="auto"/>
            </w:tcBorders>
          </w:tcPr>
          <w:p w14:paraId="28AF6D25" w14:textId="77777777" w:rsidR="005C24FA" w:rsidRDefault="005C24FA" w:rsidP="009107D4">
            <w:pPr>
              <w:pStyle w:val="V-BodyText"/>
            </w:pPr>
          </w:p>
        </w:tc>
      </w:tr>
      <w:tr w:rsidR="005C24FA" w14:paraId="3FDDBF36" w14:textId="77777777" w:rsidTr="00B57F24">
        <w:tc>
          <w:tcPr>
            <w:tcW w:w="2500" w:type="pct"/>
            <w:tcBorders>
              <w:top w:val="single" w:sz="4" w:space="0" w:color="auto"/>
            </w:tcBorders>
          </w:tcPr>
          <w:p w14:paraId="72E02E80" w14:textId="77777777" w:rsidR="005C24FA" w:rsidRDefault="005C24FA" w:rsidP="009107D4">
            <w:pPr>
              <w:pStyle w:val="V-BodyText"/>
              <w:spacing w:before="20" w:after="20" w:line="240" w:lineRule="auto"/>
            </w:pPr>
            <w:r>
              <w:t>Investigator Name (Print)</w:t>
            </w:r>
          </w:p>
        </w:tc>
        <w:tc>
          <w:tcPr>
            <w:tcW w:w="2500" w:type="pct"/>
            <w:tcBorders>
              <w:top w:val="single" w:sz="4" w:space="0" w:color="auto"/>
            </w:tcBorders>
          </w:tcPr>
          <w:p w14:paraId="1D64D21F" w14:textId="77777777" w:rsidR="005C24FA" w:rsidRDefault="005C24FA" w:rsidP="009107D4">
            <w:pPr>
              <w:pStyle w:val="V-BodyText"/>
              <w:spacing w:before="20" w:after="20" w:line="240" w:lineRule="auto"/>
            </w:pPr>
            <w:r>
              <w:t>Investigational Site</w:t>
            </w:r>
          </w:p>
        </w:tc>
      </w:tr>
      <w:tr w:rsidR="005C24FA" w14:paraId="359FE638" w14:textId="77777777" w:rsidTr="00B57F24">
        <w:tc>
          <w:tcPr>
            <w:tcW w:w="2500" w:type="pct"/>
            <w:tcBorders>
              <w:bottom w:val="single" w:sz="4" w:space="0" w:color="auto"/>
            </w:tcBorders>
          </w:tcPr>
          <w:p w14:paraId="38FD4D30" w14:textId="77777777" w:rsidR="005C24FA" w:rsidRDefault="005C24FA" w:rsidP="009107D4">
            <w:pPr>
              <w:pStyle w:val="V-BodyText"/>
            </w:pPr>
          </w:p>
          <w:p w14:paraId="68870AB8" w14:textId="77777777" w:rsidR="005C24FA" w:rsidRDefault="005C24FA" w:rsidP="009107D4">
            <w:pPr>
              <w:pStyle w:val="V-BodyText"/>
            </w:pPr>
          </w:p>
        </w:tc>
        <w:tc>
          <w:tcPr>
            <w:tcW w:w="2500" w:type="pct"/>
            <w:tcBorders>
              <w:bottom w:val="single" w:sz="4" w:space="0" w:color="auto"/>
            </w:tcBorders>
          </w:tcPr>
          <w:p w14:paraId="1FB31E58" w14:textId="77777777" w:rsidR="005C24FA" w:rsidRDefault="005C24FA" w:rsidP="009107D4">
            <w:pPr>
              <w:pStyle w:val="V-BodyText"/>
            </w:pPr>
          </w:p>
        </w:tc>
      </w:tr>
      <w:tr w:rsidR="005C24FA" w14:paraId="0B1B88B1" w14:textId="77777777" w:rsidTr="00B57F24">
        <w:tc>
          <w:tcPr>
            <w:tcW w:w="2500" w:type="pct"/>
            <w:tcBorders>
              <w:top w:val="single" w:sz="4" w:space="0" w:color="auto"/>
            </w:tcBorders>
          </w:tcPr>
          <w:p w14:paraId="524FBA6D" w14:textId="77777777" w:rsidR="005C24FA" w:rsidRDefault="005C24FA" w:rsidP="009107D4">
            <w:pPr>
              <w:pStyle w:val="V-BodyText"/>
              <w:spacing w:before="20" w:after="20" w:line="240" w:lineRule="auto"/>
            </w:pPr>
            <w:r>
              <w:t>Investigator Signature</w:t>
            </w:r>
          </w:p>
        </w:tc>
        <w:tc>
          <w:tcPr>
            <w:tcW w:w="2500" w:type="pct"/>
            <w:tcBorders>
              <w:top w:val="single" w:sz="4" w:space="0" w:color="auto"/>
            </w:tcBorders>
          </w:tcPr>
          <w:p w14:paraId="57AFB765" w14:textId="77777777" w:rsidR="005C24FA" w:rsidRDefault="005C24FA" w:rsidP="009107D4">
            <w:pPr>
              <w:pStyle w:val="V-BodyText"/>
              <w:spacing w:before="20" w:after="20" w:line="240" w:lineRule="auto"/>
            </w:pPr>
            <w:r>
              <w:t>Date</w:t>
            </w:r>
          </w:p>
        </w:tc>
      </w:tr>
    </w:tbl>
    <w:p w14:paraId="3A57B077" w14:textId="77777777" w:rsidR="005C24FA" w:rsidRDefault="005C24FA"/>
    <w:p w14:paraId="5119879E" w14:textId="77777777" w:rsidR="008F65FC" w:rsidRDefault="005F45D2" w:rsidP="00BA20DE">
      <w:pPr>
        <w:pStyle w:val="Heading1un-numbered"/>
        <w:pageBreakBefore/>
      </w:pPr>
      <w:bookmarkStart w:id="2" w:name="_Toc233801655"/>
      <w:r>
        <w:lastRenderedPageBreak/>
        <w:t>PROTOCOL VERSION HISTORY</w:t>
      </w:r>
      <w:bookmarkEnd w:id="2"/>
    </w:p>
    <w:p w14:paraId="5B748FB0" w14:textId="77777777" w:rsidR="008F65FC" w:rsidRDefault="00000000">
      <w:pPr>
        <w:pStyle w:val="V-Guidance"/>
      </w:pPr>
      <w:r>
        <w:t xml:space="preserve">Maintain a running, high-level version and amendment history here (version, date, and a short description of key changes). The CSR draws on this history for its protocol-amendment summary; keep it current as amendments issue. The full change history for the current protocol, including rationale, are included in Appendix 1.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9"/>
        <w:gridCol w:w="2373"/>
        <w:gridCol w:w="5578"/>
      </w:tblGrid>
      <w:tr w:rsidR="008F65FC" w14:paraId="6E19A2F3" w14:textId="77777777" w:rsidTr="00B57F24">
        <w:tc>
          <w:tcPr>
            <w:tcW w:w="748" w:type="pct"/>
          </w:tcPr>
          <w:p w14:paraId="21B9443B" w14:textId="77777777" w:rsidR="008F65FC" w:rsidRDefault="00000000">
            <w:pPr>
              <w:pStyle w:val="V-tableheader"/>
            </w:pPr>
            <w:r>
              <w:t>Version</w:t>
            </w:r>
          </w:p>
        </w:tc>
        <w:tc>
          <w:tcPr>
            <w:tcW w:w="1269" w:type="pct"/>
          </w:tcPr>
          <w:p w14:paraId="5B7B577C" w14:textId="77777777" w:rsidR="008F65FC" w:rsidRDefault="00000000">
            <w:pPr>
              <w:pStyle w:val="V-tableheader"/>
            </w:pPr>
            <w:r>
              <w:t>Date</w:t>
            </w:r>
          </w:p>
        </w:tc>
        <w:tc>
          <w:tcPr>
            <w:tcW w:w="2983" w:type="pct"/>
          </w:tcPr>
          <w:p w14:paraId="25D817E6" w14:textId="77777777" w:rsidR="008F65FC" w:rsidRDefault="00000000">
            <w:pPr>
              <w:pStyle w:val="V-tableheader"/>
              <w:jc w:val="left"/>
            </w:pPr>
            <w:r>
              <w:t>Description / Summary of Key Changes</w:t>
            </w:r>
          </w:p>
        </w:tc>
      </w:tr>
      <w:tr w:rsidR="008F65FC" w14:paraId="4B9CAFA9" w14:textId="77777777" w:rsidTr="00B57F24">
        <w:tc>
          <w:tcPr>
            <w:tcW w:w="748" w:type="pct"/>
          </w:tcPr>
          <w:p w14:paraId="688D40A8" w14:textId="77777777" w:rsidR="008F65FC" w:rsidRDefault="00000000">
            <w:pPr>
              <w:pStyle w:val="V-tablebody"/>
            </w:pPr>
            <w:r>
              <w:t>1.0</w:t>
            </w:r>
          </w:p>
        </w:tc>
        <w:tc>
          <w:tcPr>
            <w:tcW w:w="1269" w:type="pct"/>
          </w:tcPr>
          <w:p w14:paraId="0DF65AF4" w14:textId="77777777" w:rsidR="008F65FC" w:rsidRDefault="00000000">
            <w:pPr>
              <w:pStyle w:val="V-tablebody"/>
            </w:pPr>
            <w:r>
              <w:t>[DD MON YYYY]</w:t>
            </w:r>
          </w:p>
        </w:tc>
        <w:tc>
          <w:tcPr>
            <w:tcW w:w="2983" w:type="pct"/>
          </w:tcPr>
          <w:p w14:paraId="3F0C0806" w14:textId="77777777" w:rsidR="008F65FC" w:rsidRDefault="00000000">
            <w:pPr>
              <w:pStyle w:val="V-tablebody"/>
              <w:jc w:val="left"/>
            </w:pPr>
            <w:r>
              <w:t>Original protocol</w:t>
            </w:r>
          </w:p>
        </w:tc>
      </w:tr>
    </w:tbl>
    <w:p w14:paraId="550BCC4C" w14:textId="77777777" w:rsidR="008F65FC" w:rsidRDefault="005F45D2" w:rsidP="00BA20DE">
      <w:pPr>
        <w:pStyle w:val="Heading1un-numbered"/>
        <w:pageBreakBefore/>
      </w:pPr>
      <w:bookmarkStart w:id="3" w:name="_Toc233801656"/>
      <w:r>
        <w:lastRenderedPageBreak/>
        <w:t>TABLE OF CONTENTS</w:t>
      </w:r>
      <w:bookmarkEnd w:id="3"/>
    </w:p>
    <w:p w14:paraId="4ACA5BA9" w14:textId="36B219B9" w:rsidR="00B57F24" w:rsidRDefault="004A41A9">
      <w:pPr>
        <w:pStyle w:val="TOC1"/>
        <w:rPr>
          <w:rFonts w:asciiTheme="minorHAnsi" w:eastAsiaTheme="minorEastAsia" w:hAnsiTheme="minorHAnsi" w:cstheme="minorBidi"/>
          <w:caps w:val="0"/>
          <w:noProof/>
          <w:color w:val="auto"/>
        </w:rPr>
      </w:pPr>
      <w:r>
        <w:fldChar w:fldCharType="begin"/>
      </w:r>
      <w:r>
        <w:instrText xml:space="preserve"> TOC \o "1-2" \h \z \u </w:instrText>
      </w:r>
      <w:r>
        <w:fldChar w:fldCharType="separate"/>
      </w:r>
      <w:hyperlink w:anchor="_Toc233801653" w:history="1">
        <w:r w:rsidR="00B57F24" w:rsidRPr="007927EF">
          <w:rPr>
            <w:rStyle w:val="Hyperlink"/>
            <w:noProof/>
          </w:rPr>
          <w:t>SPONSOR’S APPROVAL PAGE</w:t>
        </w:r>
        <w:r w:rsidR="00B57F24">
          <w:rPr>
            <w:noProof/>
            <w:webHidden/>
          </w:rPr>
          <w:tab/>
        </w:r>
        <w:r w:rsidR="00B57F24">
          <w:rPr>
            <w:noProof/>
            <w:webHidden/>
          </w:rPr>
          <w:fldChar w:fldCharType="begin"/>
        </w:r>
        <w:r w:rsidR="00B57F24">
          <w:rPr>
            <w:noProof/>
            <w:webHidden/>
          </w:rPr>
          <w:instrText xml:space="preserve"> PAGEREF _Toc233801653 \h </w:instrText>
        </w:r>
        <w:r w:rsidR="00B57F24">
          <w:rPr>
            <w:noProof/>
            <w:webHidden/>
          </w:rPr>
        </w:r>
        <w:r w:rsidR="00B57F24">
          <w:rPr>
            <w:noProof/>
            <w:webHidden/>
          </w:rPr>
          <w:fldChar w:fldCharType="separate"/>
        </w:r>
        <w:r w:rsidR="00272496">
          <w:rPr>
            <w:noProof/>
            <w:webHidden/>
          </w:rPr>
          <w:t>4</w:t>
        </w:r>
        <w:r w:rsidR="00B57F24">
          <w:rPr>
            <w:noProof/>
            <w:webHidden/>
          </w:rPr>
          <w:fldChar w:fldCharType="end"/>
        </w:r>
      </w:hyperlink>
    </w:p>
    <w:p w14:paraId="502B4227" w14:textId="3CA1301A" w:rsidR="00B57F24" w:rsidRDefault="00000000">
      <w:pPr>
        <w:pStyle w:val="TOC1"/>
        <w:rPr>
          <w:rFonts w:asciiTheme="minorHAnsi" w:eastAsiaTheme="minorEastAsia" w:hAnsiTheme="minorHAnsi" w:cstheme="minorBidi"/>
          <w:caps w:val="0"/>
          <w:noProof/>
          <w:color w:val="auto"/>
        </w:rPr>
      </w:pPr>
      <w:hyperlink w:anchor="_Toc233801654" w:history="1">
        <w:r w:rsidR="00B57F24" w:rsidRPr="007927EF">
          <w:rPr>
            <w:rStyle w:val="Hyperlink"/>
            <w:noProof/>
          </w:rPr>
          <w:t xml:space="preserve">CONFIDENTIALITY AND INVESTIGATOR SIGNATURE </w:t>
        </w:r>
        <w:r w:rsidR="00B57F24" w:rsidRPr="007927EF">
          <w:rPr>
            <w:rStyle w:val="Hyperlink"/>
            <w:i/>
            <w:iCs/>
            <w:noProof/>
          </w:rPr>
          <w:t>(OPTIONAL)</w:t>
        </w:r>
        <w:r w:rsidR="00B57F24">
          <w:rPr>
            <w:noProof/>
            <w:webHidden/>
          </w:rPr>
          <w:tab/>
        </w:r>
        <w:r w:rsidR="00B57F24">
          <w:rPr>
            <w:noProof/>
            <w:webHidden/>
          </w:rPr>
          <w:fldChar w:fldCharType="begin"/>
        </w:r>
        <w:r w:rsidR="00B57F24">
          <w:rPr>
            <w:noProof/>
            <w:webHidden/>
          </w:rPr>
          <w:instrText xml:space="preserve"> PAGEREF _Toc233801654 \h </w:instrText>
        </w:r>
        <w:r w:rsidR="00B57F24">
          <w:rPr>
            <w:noProof/>
            <w:webHidden/>
          </w:rPr>
        </w:r>
        <w:r w:rsidR="00B57F24">
          <w:rPr>
            <w:noProof/>
            <w:webHidden/>
          </w:rPr>
          <w:fldChar w:fldCharType="separate"/>
        </w:r>
        <w:r w:rsidR="00272496">
          <w:rPr>
            <w:noProof/>
            <w:webHidden/>
          </w:rPr>
          <w:t>5</w:t>
        </w:r>
        <w:r w:rsidR="00B57F24">
          <w:rPr>
            <w:noProof/>
            <w:webHidden/>
          </w:rPr>
          <w:fldChar w:fldCharType="end"/>
        </w:r>
      </w:hyperlink>
    </w:p>
    <w:p w14:paraId="2695B141" w14:textId="5477F85E" w:rsidR="00B57F24" w:rsidRDefault="00000000">
      <w:pPr>
        <w:pStyle w:val="TOC1"/>
        <w:rPr>
          <w:rFonts w:asciiTheme="minorHAnsi" w:eastAsiaTheme="minorEastAsia" w:hAnsiTheme="minorHAnsi" w:cstheme="minorBidi"/>
          <w:caps w:val="0"/>
          <w:noProof/>
          <w:color w:val="auto"/>
        </w:rPr>
      </w:pPr>
      <w:hyperlink w:anchor="_Toc233801655" w:history="1">
        <w:r w:rsidR="00B57F24" w:rsidRPr="007927EF">
          <w:rPr>
            <w:rStyle w:val="Hyperlink"/>
            <w:noProof/>
          </w:rPr>
          <w:t>PROTOCOL VERSION HISTORY</w:t>
        </w:r>
        <w:r w:rsidR="00B57F24">
          <w:rPr>
            <w:noProof/>
            <w:webHidden/>
          </w:rPr>
          <w:tab/>
        </w:r>
        <w:r w:rsidR="00B57F24">
          <w:rPr>
            <w:noProof/>
            <w:webHidden/>
          </w:rPr>
          <w:fldChar w:fldCharType="begin"/>
        </w:r>
        <w:r w:rsidR="00B57F24">
          <w:rPr>
            <w:noProof/>
            <w:webHidden/>
          </w:rPr>
          <w:instrText xml:space="preserve"> PAGEREF _Toc233801655 \h </w:instrText>
        </w:r>
        <w:r w:rsidR="00B57F24">
          <w:rPr>
            <w:noProof/>
            <w:webHidden/>
          </w:rPr>
        </w:r>
        <w:r w:rsidR="00B57F24">
          <w:rPr>
            <w:noProof/>
            <w:webHidden/>
          </w:rPr>
          <w:fldChar w:fldCharType="separate"/>
        </w:r>
        <w:r w:rsidR="00272496">
          <w:rPr>
            <w:noProof/>
            <w:webHidden/>
          </w:rPr>
          <w:t>6</w:t>
        </w:r>
        <w:r w:rsidR="00B57F24">
          <w:rPr>
            <w:noProof/>
            <w:webHidden/>
          </w:rPr>
          <w:fldChar w:fldCharType="end"/>
        </w:r>
      </w:hyperlink>
    </w:p>
    <w:p w14:paraId="57BDD158" w14:textId="60EFF8DF" w:rsidR="00B57F24" w:rsidRDefault="00000000">
      <w:pPr>
        <w:pStyle w:val="TOC1"/>
        <w:rPr>
          <w:rFonts w:asciiTheme="minorHAnsi" w:eastAsiaTheme="minorEastAsia" w:hAnsiTheme="minorHAnsi" w:cstheme="minorBidi"/>
          <w:caps w:val="0"/>
          <w:noProof/>
          <w:color w:val="auto"/>
        </w:rPr>
      </w:pPr>
      <w:hyperlink w:anchor="_Toc233801656" w:history="1">
        <w:r w:rsidR="00B57F24" w:rsidRPr="007927EF">
          <w:rPr>
            <w:rStyle w:val="Hyperlink"/>
            <w:noProof/>
          </w:rPr>
          <w:t>TABLE OF CONTENTS</w:t>
        </w:r>
        <w:r w:rsidR="00B57F24">
          <w:rPr>
            <w:noProof/>
            <w:webHidden/>
          </w:rPr>
          <w:tab/>
        </w:r>
        <w:r w:rsidR="00B57F24">
          <w:rPr>
            <w:noProof/>
            <w:webHidden/>
          </w:rPr>
          <w:fldChar w:fldCharType="begin"/>
        </w:r>
        <w:r w:rsidR="00B57F24">
          <w:rPr>
            <w:noProof/>
            <w:webHidden/>
          </w:rPr>
          <w:instrText xml:space="preserve"> PAGEREF _Toc233801656 \h </w:instrText>
        </w:r>
        <w:r w:rsidR="00B57F24">
          <w:rPr>
            <w:noProof/>
            <w:webHidden/>
          </w:rPr>
        </w:r>
        <w:r w:rsidR="00B57F24">
          <w:rPr>
            <w:noProof/>
            <w:webHidden/>
          </w:rPr>
          <w:fldChar w:fldCharType="separate"/>
        </w:r>
        <w:r w:rsidR="00272496">
          <w:rPr>
            <w:noProof/>
            <w:webHidden/>
          </w:rPr>
          <w:t>7</w:t>
        </w:r>
        <w:r w:rsidR="00B57F24">
          <w:rPr>
            <w:noProof/>
            <w:webHidden/>
          </w:rPr>
          <w:fldChar w:fldCharType="end"/>
        </w:r>
      </w:hyperlink>
    </w:p>
    <w:p w14:paraId="281508CB" w14:textId="2B0B4109" w:rsidR="00B57F24" w:rsidRDefault="00000000">
      <w:pPr>
        <w:pStyle w:val="TOC1"/>
        <w:rPr>
          <w:rFonts w:asciiTheme="minorHAnsi" w:eastAsiaTheme="minorEastAsia" w:hAnsiTheme="minorHAnsi" w:cstheme="minorBidi"/>
          <w:caps w:val="0"/>
          <w:noProof/>
          <w:color w:val="auto"/>
        </w:rPr>
      </w:pPr>
      <w:hyperlink w:anchor="_Toc233801657" w:history="1">
        <w:r w:rsidR="00B57F24" w:rsidRPr="007927EF">
          <w:rPr>
            <w:rStyle w:val="Hyperlink"/>
            <w:noProof/>
          </w:rPr>
          <w:t>LIST OF TABLES</w:t>
        </w:r>
        <w:r w:rsidR="00B57F24">
          <w:rPr>
            <w:noProof/>
            <w:webHidden/>
          </w:rPr>
          <w:tab/>
        </w:r>
        <w:r w:rsidR="00B57F24">
          <w:rPr>
            <w:noProof/>
            <w:webHidden/>
          </w:rPr>
          <w:fldChar w:fldCharType="begin"/>
        </w:r>
        <w:r w:rsidR="00B57F24">
          <w:rPr>
            <w:noProof/>
            <w:webHidden/>
          </w:rPr>
          <w:instrText xml:space="preserve"> PAGEREF _Toc233801657 \h </w:instrText>
        </w:r>
        <w:r w:rsidR="00B57F24">
          <w:rPr>
            <w:noProof/>
            <w:webHidden/>
          </w:rPr>
        </w:r>
        <w:r w:rsidR="00B57F24">
          <w:rPr>
            <w:noProof/>
            <w:webHidden/>
          </w:rPr>
          <w:fldChar w:fldCharType="separate"/>
        </w:r>
        <w:r w:rsidR="00272496">
          <w:rPr>
            <w:noProof/>
            <w:webHidden/>
          </w:rPr>
          <w:t>9</w:t>
        </w:r>
        <w:r w:rsidR="00B57F24">
          <w:rPr>
            <w:noProof/>
            <w:webHidden/>
          </w:rPr>
          <w:fldChar w:fldCharType="end"/>
        </w:r>
      </w:hyperlink>
    </w:p>
    <w:p w14:paraId="49FF15D5" w14:textId="240EDA50" w:rsidR="00B57F24" w:rsidRDefault="00000000">
      <w:pPr>
        <w:pStyle w:val="TOC1"/>
        <w:rPr>
          <w:rFonts w:asciiTheme="minorHAnsi" w:eastAsiaTheme="minorEastAsia" w:hAnsiTheme="minorHAnsi" w:cstheme="minorBidi"/>
          <w:caps w:val="0"/>
          <w:noProof/>
          <w:color w:val="auto"/>
        </w:rPr>
      </w:pPr>
      <w:hyperlink w:anchor="_Toc233801658" w:history="1">
        <w:r w:rsidR="00B57F24" w:rsidRPr="007927EF">
          <w:rPr>
            <w:rStyle w:val="Hyperlink"/>
            <w:noProof/>
          </w:rPr>
          <w:t>LIST OF FIGURES</w:t>
        </w:r>
        <w:r w:rsidR="00B57F24">
          <w:rPr>
            <w:noProof/>
            <w:webHidden/>
          </w:rPr>
          <w:tab/>
        </w:r>
        <w:r w:rsidR="00B57F24">
          <w:rPr>
            <w:noProof/>
            <w:webHidden/>
          </w:rPr>
          <w:fldChar w:fldCharType="begin"/>
        </w:r>
        <w:r w:rsidR="00B57F24">
          <w:rPr>
            <w:noProof/>
            <w:webHidden/>
          </w:rPr>
          <w:instrText xml:space="preserve"> PAGEREF _Toc233801658 \h </w:instrText>
        </w:r>
        <w:r w:rsidR="00B57F24">
          <w:rPr>
            <w:noProof/>
            <w:webHidden/>
          </w:rPr>
        </w:r>
        <w:r w:rsidR="00B57F24">
          <w:rPr>
            <w:noProof/>
            <w:webHidden/>
          </w:rPr>
          <w:fldChar w:fldCharType="separate"/>
        </w:r>
        <w:r w:rsidR="00272496">
          <w:rPr>
            <w:noProof/>
            <w:webHidden/>
          </w:rPr>
          <w:t>9</w:t>
        </w:r>
        <w:r w:rsidR="00B57F24">
          <w:rPr>
            <w:noProof/>
            <w:webHidden/>
          </w:rPr>
          <w:fldChar w:fldCharType="end"/>
        </w:r>
      </w:hyperlink>
    </w:p>
    <w:p w14:paraId="59F56E29" w14:textId="0BE58203" w:rsidR="00B57F24" w:rsidRDefault="00000000">
      <w:pPr>
        <w:pStyle w:val="TOC1"/>
        <w:rPr>
          <w:rFonts w:asciiTheme="minorHAnsi" w:eastAsiaTheme="minorEastAsia" w:hAnsiTheme="minorHAnsi" w:cstheme="minorBidi"/>
          <w:caps w:val="0"/>
          <w:noProof/>
          <w:color w:val="auto"/>
        </w:rPr>
      </w:pPr>
      <w:hyperlink w:anchor="_Toc233801659" w:history="1">
        <w:r w:rsidR="00B57F24" w:rsidRPr="007927EF">
          <w:rPr>
            <w:rStyle w:val="Hyperlink"/>
            <w:noProof/>
          </w:rPr>
          <w:t>LIST OF ABBREVIATIONS</w:t>
        </w:r>
        <w:r w:rsidR="00B57F24">
          <w:rPr>
            <w:noProof/>
            <w:webHidden/>
          </w:rPr>
          <w:tab/>
        </w:r>
        <w:r w:rsidR="00B57F24">
          <w:rPr>
            <w:noProof/>
            <w:webHidden/>
          </w:rPr>
          <w:fldChar w:fldCharType="begin"/>
        </w:r>
        <w:r w:rsidR="00B57F24">
          <w:rPr>
            <w:noProof/>
            <w:webHidden/>
          </w:rPr>
          <w:instrText xml:space="preserve"> PAGEREF _Toc233801659 \h </w:instrText>
        </w:r>
        <w:r w:rsidR="00B57F24">
          <w:rPr>
            <w:noProof/>
            <w:webHidden/>
          </w:rPr>
        </w:r>
        <w:r w:rsidR="00B57F24">
          <w:rPr>
            <w:noProof/>
            <w:webHidden/>
          </w:rPr>
          <w:fldChar w:fldCharType="separate"/>
        </w:r>
        <w:r w:rsidR="00272496">
          <w:rPr>
            <w:noProof/>
            <w:webHidden/>
          </w:rPr>
          <w:t>10</w:t>
        </w:r>
        <w:r w:rsidR="00B57F24">
          <w:rPr>
            <w:noProof/>
            <w:webHidden/>
          </w:rPr>
          <w:fldChar w:fldCharType="end"/>
        </w:r>
      </w:hyperlink>
    </w:p>
    <w:p w14:paraId="378FF64F" w14:textId="2A021D9B" w:rsidR="00B57F24" w:rsidRDefault="00000000">
      <w:pPr>
        <w:pStyle w:val="TOC1"/>
        <w:rPr>
          <w:rFonts w:asciiTheme="minorHAnsi" w:eastAsiaTheme="minorEastAsia" w:hAnsiTheme="minorHAnsi" w:cstheme="minorBidi"/>
          <w:caps w:val="0"/>
          <w:noProof/>
          <w:color w:val="auto"/>
        </w:rPr>
      </w:pPr>
      <w:hyperlink w:anchor="_Toc233801660" w:history="1">
        <w:r w:rsidR="00B57F24" w:rsidRPr="007927EF">
          <w:rPr>
            <w:rStyle w:val="Hyperlink"/>
            <w:noProof/>
          </w:rPr>
          <w:t>1</w:t>
        </w:r>
        <w:r w:rsidR="00B57F24">
          <w:rPr>
            <w:rFonts w:asciiTheme="minorHAnsi" w:eastAsiaTheme="minorEastAsia" w:hAnsiTheme="minorHAnsi" w:cstheme="minorBidi"/>
            <w:caps w:val="0"/>
            <w:noProof/>
            <w:color w:val="auto"/>
          </w:rPr>
          <w:tab/>
        </w:r>
        <w:r w:rsidR="00B57F24" w:rsidRPr="007927EF">
          <w:rPr>
            <w:rStyle w:val="Hyperlink"/>
            <w:noProof/>
          </w:rPr>
          <w:t>PROTOCOL SUMMARY</w:t>
        </w:r>
        <w:r w:rsidR="00B57F24">
          <w:rPr>
            <w:noProof/>
            <w:webHidden/>
          </w:rPr>
          <w:tab/>
        </w:r>
        <w:r w:rsidR="00B57F24">
          <w:rPr>
            <w:noProof/>
            <w:webHidden/>
          </w:rPr>
          <w:fldChar w:fldCharType="begin"/>
        </w:r>
        <w:r w:rsidR="00B57F24">
          <w:rPr>
            <w:noProof/>
            <w:webHidden/>
          </w:rPr>
          <w:instrText xml:space="preserve"> PAGEREF _Toc233801660 \h </w:instrText>
        </w:r>
        <w:r w:rsidR="00B57F24">
          <w:rPr>
            <w:noProof/>
            <w:webHidden/>
          </w:rPr>
        </w:r>
        <w:r w:rsidR="00B57F24">
          <w:rPr>
            <w:noProof/>
            <w:webHidden/>
          </w:rPr>
          <w:fldChar w:fldCharType="separate"/>
        </w:r>
        <w:r w:rsidR="00272496">
          <w:rPr>
            <w:noProof/>
            <w:webHidden/>
          </w:rPr>
          <w:t>12</w:t>
        </w:r>
        <w:r w:rsidR="00B57F24">
          <w:rPr>
            <w:noProof/>
            <w:webHidden/>
          </w:rPr>
          <w:fldChar w:fldCharType="end"/>
        </w:r>
      </w:hyperlink>
    </w:p>
    <w:p w14:paraId="28E8FF41" w14:textId="7EBC1D8B"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61" w:history="1">
        <w:r w:rsidR="00B57F24" w:rsidRPr="007927EF">
          <w:rPr>
            <w:rStyle w:val="Hyperlink"/>
            <w:noProof/>
          </w:rPr>
          <w:t>1.1</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Protocol Synopsis</w:t>
        </w:r>
        <w:r w:rsidR="00B57F24">
          <w:rPr>
            <w:noProof/>
            <w:webHidden/>
          </w:rPr>
          <w:tab/>
        </w:r>
        <w:r w:rsidR="00B57F24">
          <w:rPr>
            <w:noProof/>
            <w:webHidden/>
          </w:rPr>
          <w:fldChar w:fldCharType="begin"/>
        </w:r>
        <w:r w:rsidR="00B57F24">
          <w:rPr>
            <w:noProof/>
            <w:webHidden/>
          </w:rPr>
          <w:instrText xml:space="preserve"> PAGEREF _Toc233801661 \h </w:instrText>
        </w:r>
        <w:r w:rsidR="00B57F24">
          <w:rPr>
            <w:noProof/>
            <w:webHidden/>
          </w:rPr>
        </w:r>
        <w:r w:rsidR="00B57F24">
          <w:rPr>
            <w:noProof/>
            <w:webHidden/>
          </w:rPr>
          <w:fldChar w:fldCharType="separate"/>
        </w:r>
        <w:r w:rsidR="00272496">
          <w:rPr>
            <w:noProof/>
            <w:webHidden/>
          </w:rPr>
          <w:t>12</w:t>
        </w:r>
        <w:r w:rsidR="00B57F24">
          <w:rPr>
            <w:noProof/>
            <w:webHidden/>
          </w:rPr>
          <w:fldChar w:fldCharType="end"/>
        </w:r>
      </w:hyperlink>
    </w:p>
    <w:p w14:paraId="0D953031" w14:textId="02FCA2A8"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62" w:history="1">
        <w:r w:rsidR="00B57F24" w:rsidRPr="007927EF">
          <w:rPr>
            <w:rStyle w:val="Hyperlink"/>
            <w:noProof/>
          </w:rPr>
          <w:t>1.2</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Study Schema</w:t>
        </w:r>
        <w:r w:rsidR="00B57F24">
          <w:rPr>
            <w:noProof/>
            <w:webHidden/>
          </w:rPr>
          <w:tab/>
        </w:r>
        <w:r w:rsidR="00B57F24">
          <w:rPr>
            <w:noProof/>
            <w:webHidden/>
          </w:rPr>
          <w:fldChar w:fldCharType="begin"/>
        </w:r>
        <w:r w:rsidR="00B57F24">
          <w:rPr>
            <w:noProof/>
            <w:webHidden/>
          </w:rPr>
          <w:instrText xml:space="preserve"> PAGEREF _Toc233801662 \h </w:instrText>
        </w:r>
        <w:r w:rsidR="00B57F24">
          <w:rPr>
            <w:noProof/>
            <w:webHidden/>
          </w:rPr>
        </w:r>
        <w:r w:rsidR="00B57F24">
          <w:rPr>
            <w:noProof/>
            <w:webHidden/>
          </w:rPr>
          <w:fldChar w:fldCharType="separate"/>
        </w:r>
        <w:r w:rsidR="00272496">
          <w:rPr>
            <w:noProof/>
            <w:webHidden/>
          </w:rPr>
          <w:t>21</w:t>
        </w:r>
        <w:r w:rsidR="00B57F24">
          <w:rPr>
            <w:noProof/>
            <w:webHidden/>
          </w:rPr>
          <w:fldChar w:fldCharType="end"/>
        </w:r>
      </w:hyperlink>
    </w:p>
    <w:p w14:paraId="2F667788" w14:textId="50B3436D"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63" w:history="1">
        <w:r w:rsidR="00B57F24" w:rsidRPr="007927EF">
          <w:rPr>
            <w:rStyle w:val="Hyperlink"/>
            <w:noProof/>
          </w:rPr>
          <w:t>1.3</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Schedule of Activities (SoA)</w:t>
        </w:r>
        <w:r w:rsidR="00B57F24">
          <w:rPr>
            <w:noProof/>
            <w:webHidden/>
          </w:rPr>
          <w:tab/>
        </w:r>
        <w:r w:rsidR="00B57F24">
          <w:rPr>
            <w:noProof/>
            <w:webHidden/>
          </w:rPr>
          <w:fldChar w:fldCharType="begin"/>
        </w:r>
        <w:r w:rsidR="00B57F24">
          <w:rPr>
            <w:noProof/>
            <w:webHidden/>
          </w:rPr>
          <w:instrText xml:space="preserve"> PAGEREF _Toc233801663 \h </w:instrText>
        </w:r>
        <w:r w:rsidR="00B57F24">
          <w:rPr>
            <w:noProof/>
            <w:webHidden/>
          </w:rPr>
        </w:r>
        <w:r w:rsidR="00B57F24">
          <w:rPr>
            <w:noProof/>
            <w:webHidden/>
          </w:rPr>
          <w:fldChar w:fldCharType="separate"/>
        </w:r>
        <w:r w:rsidR="00272496">
          <w:rPr>
            <w:noProof/>
            <w:webHidden/>
          </w:rPr>
          <w:t>22</w:t>
        </w:r>
        <w:r w:rsidR="00B57F24">
          <w:rPr>
            <w:noProof/>
            <w:webHidden/>
          </w:rPr>
          <w:fldChar w:fldCharType="end"/>
        </w:r>
      </w:hyperlink>
    </w:p>
    <w:p w14:paraId="09046AEF" w14:textId="7DE7F156" w:rsidR="00B57F24" w:rsidRDefault="00000000">
      <w:pPr>
        <w:pStyle w:val="TOC1"/>
        <w:rPr>
          <w:rFonts w:asciiTheme="minorHAnsi" w:eastAsiaTheme="minorEastAsia" w:hAnsiTheme="minorHAnsi" w:cstheme="minorBidi"/>
          <w:caps w:val="0"/>
          <w:noProof/>
          <w:color w:val="auto"/>
        </w:rPr>
      </w:pPr>
      <w:hyperlink w:anchor="_Toc233801664" w:history="1">
        <w:r w:rsidR="00B57F24" w:rsidRPr="007927EF">
          <w:rPr>
            <w:rStyle w:val="Hyperlink"/>
            <w:noProof/>
          </w:rPr>
          <w:t>2</w:t>
        </w:r>
        <w:r w:rsidR="00B57F24">
          <w:rPr>
            <w:rFonts w:asciiTheme="minorHAnsi" w:eastAsiaTheme="minorEastAsia" w:hAnsiTheme="minorHAnsi" w:cstheme="minorBidi"/>
            <w:caps w:val="0"/>
            <w:noProof/>
            <w:color w:val="auto"/>
          </w:rPr>
          <w:tab/>
        </w:r>
        <w:r w:rsidR="00B57F24" w:rsidRPr="007927EF">
          <w:rPr>
            <w:rStyle w:val="Hyperlink"/>
            <w:noProof/>
          </w:rPr>
          <w:t>Introduction</w:t>
        </w:r>
        <w:r w:rsidR="00B57F24">
          <w:rPr>
            <w:noProof/>
            <w:webHidden/>
          </w:rPr>
          <w:tab/>
        </w:r>
        <w:r w:rsidR="00B57F24">
          <w:rPr>
            <w:noProof/>
            <w:webHidden/>
          </w:rPr>
          <w:fldChar w:fldCharType="begin"/>
        </w:r>
        <w:r w:rsidR="00B57F24">
          <w:rPr>
            <w:noProof/>
            <w:webHidden/>
          </w:rPr>
          <w:instrText xml:space="preserve"> PAGEREF _Toc233801664 \h </w:instrText>
        </w:r>
        <w:r w:rsidR="00B57F24">
          <w:rPr>
            <w:noProof/>
            <w:webHidden/>
          </w:rPr>
        </w:r>
        <w:r w:rsidR="00B57F24">
          <w:rPr>
            <w:noProof/>
            <w:webHidden/>
          </w:rPr>
          <w:fldChar w:fldCharType="separate"/>
        </w:r>
        <w:r w:rsidR="00272496">
          <w:rPr>
            <w:noProof/>
            <w:webHidden/>
          </w:rPr>
          <w:t>24</w:t>
        </w:r>
        <w:r w:rsidR="00B57F24">
          <w:rPr>
            <w:noProof/>
            <w:webHidden/>
          </w:rPr>
          <w:fldChar w:fldCharType="end"/>
        </w:r>
      </w:hyperlink>
    </w:p>
    <w:p w14:paraId="09871417" w14:textId="317D1FF5"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65" w:history="1">
        <w:r w:rsidR="00B57F24" w:rsidRPr="007927EF">
          <w:rPr>
            <w:rStyle w:val="Hyperlink"/>
            <w:noProof/>
          </w:rPr>
          <w:t>2.1</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Disease Background and Unmet Need</w:t>
        </w:r>
        <w:r w:rsidR="00B57F24">
          <w:rPr>
            <w:noProof/>
            <w:webHidden/>
          </w:rPr>
          <w:tab/>
        </w:r>
        <w:r w:rsidR="00B57F24">
          <w:rPr>
            <w:noProof/>
            <w:webHidden/>
          </w:rPr>
          <w:fldChar w:fldCharType="begin"/>
        </w:r>
        <w:r w:rsidR="00B57F24">
          <w:rPr>
            <w:noProof/>
            <w:webHidden/>
          </w:rPr>
          <w:instrText xml:space="preserve"> PAGEREF _Toc233801665 \h </w:instrText>
        </w:r>
        <w:r w:rsidR="00B57F24">
          <w:rPr>
            <w:noProof/>
            <w:webHidden/>
          </w:rPr>
        </w:r>
        <w:r w:rsidR="00B57F24">
          <w:rPr>
            <w:noProof/>
            <w:webHidden/>
          </w:rPr>
          <w:fldChar w:fldCharType="separate"/>
        </w:r>
        <w:r w:rsidR="00272496">
          <w:rPr>
            <w:noProof/>
            <w:webHidden/>
          </w:rPr>
          <w:t>24</w:t>
        </w:r>
        <w:r w:rsidR="00B57F24">
          <w:rPr>
            <w:noProof/>
            <w:webHidden/>
          </w:rPr>
          <w:fldChar w:fldCharType="end"/>
        </w:r>
      </w:hyperlink>
    </w:p>
    <w:p w14:paraId="1E1A71DA" w14:textId="30A999EE"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66" w:history="1">
        <w:r w:rsidR="00B57F24" w:rsidRPr="007927EF">
          <w:rPr>
            <w:rStyle w:val="Hyperlink"/>
            <w:noProof/>
          </w:rPr>
          <w:t>2.2</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DRUG‑123 and Rationale for Use in Proposed Indication</w:t>
        </w:r>
        <w:r w:rsidR="00B57F24">
          <w:rPr>
            <w:noProof/>
            <w:webHidden/>
          </w:rPr>
          <w:tab/>
        </w:r>
        <w:r w:rsidR="00B57F24">
          <w:rPr>
            <w:noProof/>
            <w:webHidden/>
          </w:rPr>
          <w:fldChar w:fldCharType="begin"/>
        </w:r>
        <w:r w:rsidR="00B57F24">
          <w:rPr>
            <w:noProof/>
            <w:webHidden/>
          </w:rPr>
          <w:instrText xml:space="preserve"> PAGEREF _Toc233801666 \h </w:instrText>
        </w:r>
        <w:r w:rsidR="00B57F24">
          <w:rPr>
            <w:noProof/>
            <w:webHidden/>
          </w:rPr>
        </w:r>
        <w:r w:rsidR="00B57F24">
          <w:rPr>
            <w:noProof/>
            <w:webHidden/>
          </w:rPr>
          <w:fldChar w:fldCharType="separate"/>
        </w:r>
        <w:r w:rsidR="00272496">
          <w:rPr>
            <w:noProof/>
            <w:webHidden/>
          </w:rPr>
          <w:t>24</w:t>
        </w:r>
        <w:r w:rsidR="00B57F24">
          <w:rPr>
            <w:noProof/>
            <w:webHidden/>
          </w:rPr>
          <w:fldChar w:fldCharType="end"/>
        </w:r>
      </w:hyperlink>
    </w:p>
    <w:p w14:paraId="778E7436" w14:textId="40C4D846"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67" w:history="1">
        <w:r w:rsidR="00B57F24" w:rsidRPr="007927EF">
          <w:rPr>
            <w:rStyle w:val="Hyperlink"/>
            <w:noProof/>
          </w:rPr>
          <w:t>2.3</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Nonclinical Summary</w:t>
        </w:r>
        <w:r w:rsidR="00B57F24">
          <w:rPr>
            <w:noProof/>
            <w:webHidden/>
          </w:rPr>
          <w:tab/>
        </w:r>
        <w:r w:rsidR="00B57F24">
          <w:rPr>
            <w:noProof/>
            <w:webHidden/>
          </w:rPr>
          <w:fldChar w:fldCharType="begin"/>
        </w:r>
        <w:r w:rsidR="00B57F24">
          <w:rPr>
            <w:noProof/>
            <w:webHidden/>
          </w:rPr>
          <w:instrText xml:space="preserve"> PAGEREF _Toc233801667 \h </w:instrText>
        </w:r>
        <w:r w:rsidR="00B57F24">
          <w:rPr>
            <w:noProof/>
            <w:webHidden/>
          </w:rPr>
        </w:r>
        <w:r w:rsidR="00B57F24">
          <w:rPr>
            <w:noProof/>
            <w:webHidden/>
          </w:rPr>
          <w:fldChar w:fldCharType="separate"/>
        </w:r>
        <w:r w:rsidR="00272496">
          <w:rPr>
            <w:noProof/>
            <w:webHidden/>
          </w:rPr>
          <w:t>25</w:t>
        </w:r>
        <w:r w:rsidR="00B57F24">
          <w:rPr>
            <w:noProof/>
            <w:webHidden/>
          </w:rPr>
          <w:fldChar w:fldCharType="end"/>
        </w:r>
      </w:hyperlink>
    </w:p>
    <w:p w14:paraId="2F0D286A" w14:textId="41644603"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68" w:history="1">
        <w:r w:rsidR="00B57F24" w:rsidRPr="007927EF">
          <w:rPr>
            <w:rStyle w:val="Hyperlink"/>
            <w:noProof/>
          </w:rPr>
          <w:t>2.4</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Clinical Experience with DRUG‑123</w:t>
        </w:r>
        <w:r w:rsidR="00B57F24">
          <w:rPr>
            <w:noProof/>
            <w:webHidden/>
          </w:rPr>
          <w:tab/>
        </w:r>
        <w:r w:rsidR="00B57F24">
          <w:rPr>
            <w:noProof/>
            <w:webHidden/>
          </w:rPr>
          <w:fldChar w:fldCharType="begin"/>
        </w:r>
        <w:r w:rsidR="00B57F24">
          <w:rPr>
            <w:noProof/>
            <w:webHidden/>
          </w:rPr>
          <w:instrText xml:space="preserve"> PAGEREF _Toc233801668 \h </w:instrText>
        </w:r>
        <w:r w:rsidR="00B57F24">
          <w:rPr>
            <w:noProof/>
            <w:webHidden/>
          </w:rPr>
        </w:r>
        <w:r w:rsidR="00B57F24">
          <w:rPr>
            <w:noProof/>
            <w:webHidden/>
          </w:rPr>
          <w:fldChar w:fldCharType="separate"/>
        </w:r>
        <w:r w:rsidR="00272496">
          <w:rPr>
            <w:noProof/>
            <w:webHidden/>
          </w:rPr>
          <w:t>25</w:t>
        </w:r>
        <w:r w:rsidR="00B57F24">
          <w:rPr>
            <w:noProof/>
            <w:webHidden/>
          </w:rPr>
          <w:fldChar w:fldCharType="end"/>
        </w:r>
      </w:hyperlink>
    </w:p>
    <w:p w14:paraId="26D43A75" w14:textId="015FD204"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69" w:history="1">
        <w:r w:rsidR="00B57F24" w:rsidRPr="007927EF">
          <w:rPr>
            <w:rStyle w:val="Hyperlink"/>
            <w:noProof/>
          </w:rPr>
          <w:t>2.5</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Assessment of Risks and Benefits</w:t>
        </w:r>
        <w:r w:rsidR="00B57F24">
          <w:rPr>
            <w:noProof/>
            <w:webHidden/>
          </w:rPr>
          <w:tab/>
        </w:r>
        <w:r w:rsidR="00B57F24">
          <w:rPr>
            <w:noProof/>
            <w:webHidden/>
          </w:rPr>
          <w:fldChar w:fldCharType="begin"/>
        </w:r>
        <w:r w:rsidR="00B57F24">
          <w:rPr>
            <w:noProof/>
            <w:webHidden/>
          </w:rPr>
          <w:instrText xml:space="preserve"> PAGEREF _Toc233801669 \h </w:instrText>
        </w:r>
        <w:r w:rsidR="00B57F24">
          <w:rPr>
            <w:noProof/>
            <w:webHidden/>
          </w:rPr>
        </w:r>
        <w:r w:rsidR="00B57F24">
          <w:rPr>
            <w:noProof/>
            <w:webHidden/>
          </w:rPr>
          <w:fldChar w:fldCharType="separate"/>
        </w:r>
        <w:r w:rsidR="00272496">
          <w:rPr>
            <w:noProof/>
            <w:webHidden/>
          </w:rPr>
          <w:t>25</w:t>
        </w:r>
        <w:r w:rsidR="00B57F24">
          <w:rPr>
            <w:noProof/>
            <w:webHidden/>
          </w:rPr>
          <w:fldChar w:fldCharType="end"/>
        </w:r>
      </w:hyperlink>
    </w:p>
    <w:p w14:paraId="36D36D13" w14:textId="69C96C2A" w:rsidR="00B57F24" w:rsidRDefault="00000000">
      <w:pPr>
        <w:pStyle w:val="TOC1"/>
        <w:rPr>
          <w:rFonts w:asciiTheme="minorHAnsi" w:eastAsiaTheme="minorEastAsia" w:hAnsiTheme="minorHAnsi" w:cstheme="minorBidi"/>
          <w:caps w:val="0"/>
          <w:noProof/>
          <w:color w:val="auto"/>
        </w:rPr>
      </w:pPr>
      <w:hyperlink w:anchor="_Toc233801670" w:history="1">
        <w:r w:rsidR="00B57F24" w:rsidRPr="007927EF">
          <w:rPr>
            <w:rStyle w:val="Hyperlink"/>
            <w:noProof/>
          </w:rPr>
          <w:t>3</w:t>
        </w:r>
        <w:r w:rsidR="00B57F24">
          <w:rPr>
            <w:rFonts w:asciiTheme="minorHAnsi" w:eastAsiaTheme="minorEastAsia" w:hAnsiTheme="minorHAnsi" w:cstheme="minorBidi"/>
            <w:caps w:val="0"/>
            <w:noProof/>
            <w:color w:val="auto"/>
          </w:rPr>
          <w:tab/>
        </w:r>
        <w:r w:rsidR="00B57F24" w:rsidRPr="007927EF">
          <w:rPr>
            <w:rStyle w:val="Hyperlink"/>
            <w:noProof/>
          </w:rPr>
          <w:t>Study Objectives, Endpoints, and Associated Estimands</w:t>
        </w:r>
        <w:r w:rsidR="00B57F24">
          <w:rPr>
            <w:noProof/>
            <w:webHidden/>
          </w:rPr>
          <w:tab/>
        </w:r>
        <w:r w:rsidR="00B57F24">
          <w:rPr>
            <w:noProof/>
            <w:webHidden/>
          </w:rPr>
          <w:fldChar w:fldCharType="begin"/>
        </w:r>
        <w:r w:rsidR="00B57F24">
          <w:rPr>
            <w:noProof/>
            <w:webHidden/>
          </w:rPr>
          <w:instrText xml:space="preserve"> PAGEREF _Toc233801670 \h </w:instrText>
        </w:r>
        <w:r w:rsidR="00B57F24">
          <w:rPr>
            <w:noProof/>
            <w:webHidden/>
          </w:rPr>
        </w:r>
        <w:r w:rsidR="00B57F24">
          <w:rPr>
            <w:noProof/>
            <w:webHidden/>
          </w:rPr>
          <w:fldChar w:fldCharType="separate"/>
        </w:r>
        <w:r w:rsidR="00272496">
          <w:rPr>
            <w:noProof/>
            <w:webHidden/>
          </w:rPr>
          <w:t>27</w:t>
        </w:r>
        <w:r w:rsidR="00B57F24">
          <w:rPr>
            <w:noProof/>
            <w:webHidden/>
          </w:rPr>
          <w:fldChar w:fldCharType="end"/>
        </w:r>
      </w:hyperlink>
    </w:p>
    <w:p w14:paraId="680C522F" w14:textId="2455C05D"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71" w:history="1">
        <w:r w:rsidR="00B57F24" w:rsidRPr="007927EF">
          <w:rPr>
            <w:rStyle w:val="Hyperlink"/>
            <w:noProof/>
          </w:rPr>
          <w:t>3.1</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Associated Estimands</w:t>
        </w:r>
        <w:r w:rsidR="00B57F24">
          <w:rPr>
            <w:noProof/>
            <w:webHidden/>
          </w:rPr>
          <w:tab/>
        </w:r>
        <w:r w:rsidR="00B57F24">
          <w:rPr>
            <w:noProof/>
            <w:webHidden/>
          </w:rPr>
          <w:fldChar w:fldCharType="begin"/>
        </w:r>
        <w:r w:rsidR="00B57F24">
          <w:rPr>
            <w:noProof/>
            <w:webHidden/>
          </w:rPr>
          <w:instrText xml:space="preserve"> PAGEREF _Toc233801671 \h </w:instrText>
        </w:r>
        <w:r w:rsidR="00B57F24">
          <w:rPr>
            <w:noProof/>
            <w:webHidden/>
          </w:rPr>
        </w:r>
        <w:r w:rsidR="00B57F24">
          <w:rPr>
            <w:noProof/>
            <w:webHidden/>
          </w:rPr>
          <w:fldChar w:fldCharType="separate"/>
        </w:r>
        <w:r w:rsidR="00272496">
          <w:rPr>
            <w:noProof/>
            <w:webHidden/>
          </w:rPr>
          <w:t>28</w:t>
        </w:r>
        <w:r w:rsidR="00B57F24">
          <w:rPr>
            <w:noProof/>
            <w:webHidden/>
          </w:rPr>
          <w:fldChar w:fldCharType="end"/>
        </w:r>
      </w:hyperlink>
    </w:p>
    <w:p w14:paraId="3BB9BE93" w14:textId="7FAD8020" w:rsidR="00B57F24" w:rsidRDefault="00000000">
      <w:pPr>
        <w:pStyle w:val="TOC1"/>
        <w:rPr>
          <w:rFonts w:asciiTheme="minorHAnsi" w:eastAsiaTheme="minorEastAsia" w:hAnsiTheme="minorHAnsi" w:cstheme="minorBidi"/>
          <w:caps w:val="0"/>
          <w:noProof/>
          <w:color w:val="auto"/>
        </w:rPr>
      </w:pPr>
      <w:hyperlink w:anchor="_Toc233801672" w:history="1">
        <w:r w:rsidR="00B57F24" w:rsidRPr="007927EF">
          <w:rPr>
            <w:rStyle w:val="Hyperlink"/>
            <w:noProof/>
          </w:rPr>
          <w:t>4</w:t>
        </w:r>
        <w:r w:rsidR="00B57F24">
          <w:rPr>
            <w:rFonts w:asciiTheme="minorHAnsi" w:eastAsiaTheme="minorEastAsia" w:hAnsiTheme="minorHAnsi" w:cstheme="minorBidi"/>
            <w:caps w:val="0"/>
            <w:noProof/>
            <w:color w:val="auto"/>
          </w:rPr>
          <w:tab/>
        </w:r>
        <w:r w:rsidR="00B57F24" w:rsidRPr="007927EF">
          <w:rPr>
            <w:rStyle w:val="Hyperlink"/>
            <w:noProof/>
          </w:rPr>
          <w:t>Study Design</w:t>
        </w:r>
        <w:r w:rsidR="00B57F24">
          <w:rPr>
            <w:noProof/>
            <w:webHidden/>
          </w:rPr>
          <w:tab/>
        </w:r>
        <w:r w:rsidR="00B57F24">
          <w:rPr>
            <w:noProof/>
            <w:webHidden/>
          </w:rPr>
          <w:fldChar w:fldCharType="begin"/>
        </w:r>
        <w:r w:rsidR="00B57F24">
          <w:rPr>
            <w:noProof/>
            <w:webHidden/>
          </w:rPr>
          <w:instrText xml:space="preserve"> PAGEREF _Toc233801672 \h </w:instrText>
        </w:r>
        <w:r w:rsidR="00B57F24">
          <w:rPr>
            <w:noProof/>
            <w:webHidden/>
          </w:rPr>
        </w:r>
        <w:r w:rsidR="00B57F24">
          <w:rPr>
            <w:noProof/>
            <w:webHidden/>
          </w:rPr>
          <w:fldChar w:fldCharType="separate"/>
        </w:r>
        <w:r w:rsidR="00272496">
          <w:rPr>
            <w:noProof/>
            <w:webHidden/>
          </w:rPr>
          <w:t>30</w:t>
        </w:r>
        <w:r w:rsidR="00B57F24">
          <w:rPr>
            <w:noProof/>
            <w:webHidden/>
          </w:rPr>
          <w:fldChar w:fldCharType="end"/>
        </w:r>
      </w:hyperlink>
    </w:p>
    <w:p w14:paraId="5FD0DDA6" w14:textId="6D3F4196"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73" w:history="1">
        <w:r w:rsidR="00B57F24" w:rsidRPr="007927EF">
          <w:rPr>
            <w:rStyle w:val="Hyperlink"/>
            <w:noProof/>
          </w:rPr>
          <w:t>4.1</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Description of Study Design</w:t>
        </w:r>
        <w:r w:rsidR="00B57F24">
          <w:rPr>
            <w:noProof/>
            <w:webHidden/>
          </w:rPr>
          <w:tab/>
        </w:r>
        <w:r w:rsidR="00B57F24">
          <w:rPr>
            <w:noProof/>
            <w:webHidden/>
          </w:rPr>
          <w:fldChar w:fldCharType="begin"/>
        </w:r>
        <w:r w:rsidR="00B57F24">
          <w:rPr>
            <w:noProof/>
            <w:webHidden/>
          </w:rPr>
          <w:instrText xml:space="preserve"> PAGEREF _Toc233801673 \h </w:instrText>
        </w:r>
        <w:r w:rsidR="00B57F24">
          <w:rPr>
            <w:noProof/>
            <w:webHidden/>
          </w:rPr>
        </w:r>
        <w:r w:rsidR="00B57F24">
          <w:rPr>
            <w:noProof/>
            <w:webHidden/>
          </w:rPr>
          <w:fldChar w:fldCharType="separate"/>
        </w:r>
        <w:r w:rsidR="00272496">
          <w:rPr>
            <w:noProof/>
            <w:webHidden/>
          </w:rPr>
          <w:t>30</w:t>
        </w:r>
        <w:r w:rsidR="00B57F24">
          <w:rPr>
            <w:noProof/>
            <w:webHidden/>
          </w:rPr>
          <w:fldChar w:fldCharType="end"/>
        </w:r>
      </w:hyperlink>
    </w:p>
    <w:p w14:paraId="6AD417BF" w14:textId="306CA044"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74" w:history="1">
        <w:r w:rsidR="00B57F24" w:rsidRPr="007927EF">
          <w:rPr>
            <w:rStyle w:val="Hyperlink"/>
            <w:noProof/>
          </w:rPr>
          <w:t>4.2</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Scientific Rationale for Study Design</w:t>
        </w:r>
        <w:r w:rsidR="00B57F24">
          <w:rPr>
            <w:noProof/>
            <w:webHidden/>
          </w:rPr>
          <w:tab/>
        </w:r>
        <w:r w:rsidR="00B57F24">
          <w:rPr>
            <w:noProof/>
            <w:webHidden/>
          </w:rPr>
          <w:fldChar w:fldCharType="begin"/>
        </w:r>
        <w:r w:rsidR="00B57F24">
          <w:rPr>
            <w:noProof/>
            <w:webHidden/>
          </w:rPr>
          <w:instrText xml:space="preserve"> PAGEREF _Toc233801674 \h </w:instrText>
        </w:r>
        <w:r w:rsidR="00B57F24">
          <w:rPr>
            <w:noProof/>
            <w:webHidden/>
          </w:rPr>
        </w:r>
        <w:r w:rsidR="00B57F24">
          <w:rPr>
            <w:noProof/>
            <w:webHidden/>
          </w:rPr>
          <w:fldChar w:fldCharType="separate"/>
        </w:r>
        <w:r w:rsidR="00272496">
          <w:rPr>
            <w:noProof/>
            <w:webHidden/>
          </w:rPr>
          <w:t>30</w:t>
        </w:r>
        <w:r w:rsidR="00B57F24">
          <w:rPr>
            <w:noProof/>
            <w:webHidden/>
          </w:rPr>
          <w:fldChar w:fldCharType="end"/>
        </w:r>
      </w:hyperlink>
    </w:p>
    <w:p w14:paraId="659FF08C" w14:textId="7180750B"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75" w:history="1">
        <w:r w:rsidR="00B57F24" w:rsidRPr="007927EF">
          <w:rPr>
            <w:rStyle w:val="Hyperlink"/>
            <w:noProof/>
          </w:rPr>
          <w:t>4.3</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Stakeholder Input Into Design</w:t>
        </w:r>
        <w:r w:rsidR="00B57F24">
          <w:rPr>
            <w:noProof/>
            <w:webHidden/>
          </w:rPr>
          <w:tab/>
        </w:r>
        <w:r w:rsidR="00B57F24">
          <w:rPr>
            <w:noProof/>
            <w:webHidden/>
          </w:rPr>
          <w:fldChar w:fldCharType="begin"/>
        </w:r>
        <w:r w:rsidR="00B57F24">
          <w:rPr>
            <w:noProof/>
            <w:webHidden/>
          </w:rPr>
          <w:instrText xml:space="preserve"> PAGEREF _Toc233801675 \h </w:instrText>
        </w:r>
        <w:r w:rsidR="00B57F24">
          <w:rPr>
            <w:noProof/>
            <w:webHidden/>
          </w:rPr>
        </w:r>
        <w:r w:rsidR="00B57F24">
          <w:rPr>
            <w:noProof/>
            <w:webHidden/>
          </w:rPr>
          <w:fldChar w:fldCharType="separate"/>
        </w:r>
        <w:r w:rsidR="00272496">
          <w:rPr>
            <w:noProof/>
            <w:webHidden/>
          </w:rPr>
          <w:t>30</w:t>
        </w:r>
        <w:r w:rsidR="00B57F24">
          <w:rPr>
            <w:noProof/>
            <w:webHidden/>
          </w:rPr>
          <w:fldChar w:fldCharType="end"/>
        </w:r>
      </w:hyperlink>
    </w:p>
    <w:p w14:paraId="43DC15EF" w14:textId="570BF1F4"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76" w:history="1">
        <w:r w:rsidR="00B57F24" w:rsidRPr="007927EF">
          <w:rPr>
            <w:rStyle w:val="Hyperlink"/>
            <w:noProof/>
          </w:rPr>
          <w:t>4.4</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Planned Number of Patients</w:t>
        </w:r>
        <w:r w:rsidR="00B57F24">
          <w:rPr>
            <w:noProof/>
            <w:webHidden/>
          </w:rPr>
          <w:tab/>
        </w:r>
        <w:r w:rsidR="00B57F24">
          <w:rPr>
            <w:noProof/>
            <w:webHidden/>
          </w:rPr>
          <w:fldChar w:fldCharType="begin"/>
        </w:r>
        <w:r w:rsidR="00B57F24">
          <w:rPr>
            <w:noProof/>
            <w:webHidden/>
          </w:rPr>
          <w:instrText xml:space="preserve"> PAGEREF _Toc233801676 \h </w:instrText>
        </w:r>
        <w:r w:rsidR="00B57F24">
          <w:rPr>
            <w:noProof/>
            <w:webHidden/>
          </w:rPr>
        </w:r>
        <w:r w:rsidR="00B57F24">
          <w:rPr>
            <w:noProof/>
            <w:webHidden/>
          </w:rPr>
          <w:fldChar w:fldCharType="separate"/>
        </w:r>
        <w:r w:rsidR="00272496">
          <w:rPr>
            <w:noProof/>
            <w:webHidden/>
          </w:rPr>
          <w:t>30</w:t>
        </w:r>
        <w:r w:rsidR="00B57F24">
          <w:rPr>
            <w:noProof/>
            <w:webHidden/>
          </w:rPr>
          <w:fldChar w:fldCharType="end"/>
        </w:r>
      </w:hyperlink>
    </w:p>
    <w:p w14:paraId="6D423AF4" w14:textId="4CE7BB27"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77" w:history="1">
        <w:r w:rsidR="00B57F24" w:rsidRPr="007927EF">
          <w:rPr>
            <w:rStyle w:val="Hyperlink"/>
            <w:noProof/>
          </w:rPr>
          <w:t>4.5</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Study Stopping Rules</w:t>
        </w:r>
        <w:r w:rsidR="00B57F24">
          <w:rPr>
            <w:noProof/>
            <w:webHidden/>
          </w:rPr>
          <w:tab/>
        </w:r>
        <w:r w:rsidR="00B57F24">
          <w:rPr>
            <w:noProof/>
            <w:webHidden/>
          </w:rPr>
          <w:fldChar w:fldCharType="begin"/>
        </w:r>
        <w:r w:rsidR="00B57F24">
          <w:rPr>
            <w:noProof/>
            <w:webHidden/>
          </w:rPr>
          <w:instrText xml:space="preserve"> PAGEREF _Toc233801677 \h </w:instrText>
        </w:r>
        <w:r w:rsidR="00B57F24">
          <w:rPr>
            <w:noProof/>
            <w:webHidden/>
          </w:rPr>
        </w:r>
        <w:r w:rsidR="00B57F24">
          <w:rPr>
            <w:noProof/>
            <w:webHidden/>
          </w:rPr>
          <w:fldChar w:fldCharType="separate"/>
        </w:r>
        <w:r w:rsidR="00272496">
          <w:rPr>
            <w:noProof/>
            <w:webHidden/>
          </w:rPr>
          <w:t>31</w:t>
        </w:r>
        <w:r w:rsidR="00B57F24">
          <w:rPr>
            <w:noProof/>
            <w:webHidden/>
          </w:rPr>
          <w:fldChar w:fldCharType="end"/>
        </w:r>
      </w:hyperlink>
    </w:p>
    <w:p w14:paraId="20DC8746" w14:textId="34A639E1"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78" w:history="1">
        <w:r w:rsidR="00B57F24" w:rsidRPr="007927EF">
          <w:rPr>
            <w:rStyle w:val="Hyperlink"/>
            <w:noProof/>
          </w:rPr>
          <w:t>4.6</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Start of Study and End of Study</w:t>
        </w:r>
        <w:r w:rsidR="00B57F24">
          <w:rPr>
            <w:noProof/>
            <w:webHidden/>
          </w:rPr>
          <w:tab/>
        </w:r>
        <w:r w:rsidR="00B57F24">
          <w:rPr>
            <w:noProof/>
            <w:webHidden/>
          </w:rPr>
          <w:fldChar w:fldCharType="begin"/>
        </w:r>
        <w:r w:rsidR="00B57F24">
          <w:rPr>
            <w:noProof/>
            <w:webHidden/>
          </w:rPr>
          <w:instrText xml:space="preserve"> PAGEREF _Toc233801678 \h </w:instrText>
        </w:r>
        <w:r w:rsidR="00B57F24">
          <w:rPr>
            <w:noProof/>
            <w:webHidden/>
          </w:rPr>
        </w:r>
        <w:r w:rsidR="00B57F24">
          <w:rPr>
            <w:noProof/>
            <w:webHidden/>
          </w:rPr>
          <w:fldChar w:fldCharType="separate"/>
        </w:r>
        <w:r w:rsidR="00272496">
          <w:rPr>
            <w:noProof/>
            <w:webHidden/>
          </w:rPr>
          <w:t>31</w:t>
        </w:r>
        <w:r w:rsidR="00B57F24">
          <w:rPr>
            <w:noProof/>
            <w:webHidden/>
          </w:rPr>
          <w:fldChar w:fldCharType="end"/>
        </w:r>
      </w:hyperlink>
    </w:p>
    <w:p w14:paraId="473E39CF" w14:textId="782BC474"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79" w:history="1">
        <w:r w:rsidR="00B57F24" w:rsidRPr="007927EF">
          <w:rPr>
            <w:rStyle w:val="Hyperlink"/>
            <w:noProof/>
          </w:rPr>
          <w:t>4.7</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Access to Study Treatment After End of Study</w:t>
        </w:r>
        <w:r w:rsidR="00B57F24">
          <w:rPr>
            <w:noProof/>
            <w:webHidden/>
          </w:rPr>
          <w:tab/>
        </w:r>
        <w:r w:rsidR="00B57F24">
          <w:rPr>
            <w:noProof/>
            <w:webHidden/>
          </w:rPr>
          <w:fldChar w:fldCharType="begin"/>
        </w:r>
        <w:r w:rsidR="00B57F24">
          <w:rPr>
            <w:noProof/>
            <w:webHidden/>
          </w:rPr>
          <w:instrText xml:space="preserve"> PAGEREF _Toc233801679 \h </w:instrText>
        </w:r>
        <w:r w:rsidR="00B57F24">
          <w:rPr>
            <w:noProof/>
            <w:webHidden/>
          </w:rPr>
        </w:r>
        <w:r w:rsidR="00B57F24">
          <w:rPr>
            <w:noProof/>
            <w:webHidden/>
          </w:rPr>
          <w:fldChar w:fldCharType="separate"/>
        </w:r>
        <w:r w:rsidR="00272496">
          <w:rPr>
            <w:noProof/>
            <w:webHidden/>
          </w:rPr>
          <w:t>31</w:t>
        </w:r>
        <w:r w:rsidR="00B57F24">
          <w:rPr>
            <w:noProof/>
            <w:webHidden/>
          </w:rPr>
          <w:fldChar w:fldCharType="end"/>
        </w:r>
      </w:hyperlink>
    </w:p>
    <w:p w14:paraId="393C8893" w14:textId="5E617879" w:rsidR="00B57F24" w:rsidRDefault="00000000">
      <w:pPr>
        <w:pStyle w:val="TOC1"/>
        <w:rPr>
          <w:rFonts w:asciiTheme="minorHAnsi" w:eastAsiaTheme="minorEastAsia" w:hAnsiTheme="minorHAnsi" w:cstheme="minorBidi"/>
          <w:caps w:val="0"/>
          <w:noProof/>
          <w:color w:val="auto"/>
        </w:rPr>
      </w:pPr>
      <w:hyperlink w:anchor="_Toc233801680" w:history="1">
        <w:r w:rsidR="00B57F24" w:rsidRPr="007927EF">
          <w:rPr>
            <w:rStyle w:val="Hyperlink"/>
            <w:noProof/>
          </w:rPr>
          <w:t>5</w:t>
        </w:r>
        <w:r w:rsidR="00B57F24">
          <w:rPr>
            <w:rFonts w:asciiTheme="minorHAnsi" w:eastAsiaTheme="minorEastAsia" w:hAnsiTheme="minorHAnsi" w:cstheme="minorBidi"/>
            <w:caps w:val="0"/>
            <w:noProof/>
            <w:color w:val="auto"/>
          </w:rPr>
          <w:tab/>
        </w:r>
        <w:r w:rsidR="00B57F24" w:rsidRPr="007927EF">
          <w:rPr>
            <w:rStyle w:val="Hyperlink"/>
            <w:noProof/>
          </w:rPr>
          <w:t>Study Population</w:t>
        </w:r>
        <w:r w:rsidR="00B57F24">
          <w:rPr>
            <w:noProof/>
            <w:webHidden/>
          </w:rPr>
          <w:tab/>
        </w:r>
        <w:r w:rsidR="00B57F24">
          <w:rPr>
            <w:noProof/>
            <w:webHidden/>
          </w:rPr>
          <w:fldChar w:fldCharType="begin"/>
        </w:r>
        <w:r w:rsidR="00B57F24">
          <w:rPr>
            <w:noProof/>
            <w:webHidden/>
          </w:rPr>
          <w:instrText xml:space="preserve"> PAGEREF _Toc233801680 \h </w:instrText>
        </w:r>
        <w:r w:rsidR="00B57F24">
          <w:rPr>
            <w:noProof/>
            <w:webHidden/>
          </w:rPr>
        </w:r>
        <w:r w:rsidR="00B57F24">
          <w:rPr>
            <w:noProof/>
            <w:webHidden/>
          </w:rPr>
          <w:fldChar w:fldCharType="separate"/>
        </w:r>
        <w:r w:rsidR="00272496">
          <w:rPr>
            <w:noProof/>
            <w:webHidden/>
          </w:rPr>
          <w:t>32</w:t>
        </w:r>
        <w:r w:rsidR="00B57F24">
          <w:rPr>
            <w:noProof/>
            <w:webHidden/>
          </w:rPr>
          <w:fldChar w:fldCharType="end"/>
        </w:r>
      </w:hyperlink>
    </w:p>
    <w:p w14:paraId="62504917" w14:textId="27B0E091"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81" w:history="1">
        <w:r w:rsidR="00B57F24" w:rsidRPr="007927EF">
          <w:rPr>
            <w:rStyle w:val="Hyperlink"/>
            <w:noProof/>
          </w:rPr>
          <w:t>5.1</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Description of Study Population and Rationale</w:t>
        </w:r>
        <w:r w:rsidR="00B57F24">
          <w:rPr>
            <w:noProof/>
            <w:webHidden/>
          </w:rPr>
          <w:tab/>
        </w:r>
        <w:r w:rsidR="00B57F24">
          <w:rPr>
            <w:noProof/>
            <w:webHidden/>
          </w:rPr>
          <w:fldChar w:fldCharType="begin"/>
        </w:r>
        <w:r w:rsidR="00B57F24">
          <w:rPr>
            <w:noProof/>
            <w:webHidden/>
          </w:rPr>
          <w:instrText xml:space="preserve"> PAGEREF _Toc233801681 \h </w:instrText>
        </w:r>
        <w:r w:rsidR="00B57F24">
          <w:rPr>
            <w:noProof/>
            <w:webHidden/>
          </w:rPr>
        </w:r>
        <w:r w:rsidR="00B57F24">
          <w:rPr>
            <w:noProof/>
            <w:webHidden/>
          </w:rPr>
          <w:fldChar w:fldCharType="separate"/>
        </w:r>
        <w:r w:rsidR="00272496">
          <w:rPr>
            <w:noProof/>
            <w:webHidden/>
          </w:rPr>
          <w:t>32</w:t>
        </w:r>
        <w:r w:rsidR="00B57F24">
          <w:rPr>
            <w:noProof/>
            <w:webHidden/>
          </w:rPr>
          <w:fldChar w:fldCharType="end"/>
        </w:r>
      </w:hyperlink>
    </w:p>
    <w:p w14:paraId="3D10E174" w14:textId="750B3E9A"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82" w:history="1">
        <w:r w:rsidR="00B57F24" w:rsidRPr="007927EF">
          <w:rPr>
            <w:rStyle w:val="Hyperlink"/>
            <w:noProof/>
          </w:rPr>
          <w:t>5.2</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Inclusion Criteria</w:t>
        </w:r>
        <w:r w:rsidR="00B57F24">
          <w:rPr>
            <w:noProof/>
            <w:webHidden/>
          </w:rPr>
          <w:tab/>
        </w:r>
        <w:r w:rsidR="00B57F24">
          <w:rPr>
            <w:noProof/>
            <w:webHidden/>
          </w:rPr>
          <w:fldChar w:fldCharType="begin"/>
        </w:r>
        <w:r w:rsidR="00B57F24">
          <w:rPr>
            <w:noProof/>
            <w:webHidden/>
          </w:rPr>
          <w:instrText xml:space="preserve"> PAGEREF _Toc233801682 \h </w:instrText>
        </w:r>
        <w:r w:rsidR="00B57F24">
          <w:rPr>
            <w:noProof/>
            <w:webHidden/>
          </w:rPr>
        </w:r>
        <w:r w:rsidR="00B57F24">
          <w:rPr>
            <w:noProof/>
            <w:webHidden/>
          </w:rPr>
          <w:fldChar w:fldCharType="separate"/>
        </w:r>
        <w:r w:rsidR="00272496">
          <w:rPr>
            <w:noProof/>
            <w:webHidden/>
          </w:rPr>
          <w:t>32</w:t>
        </w:r>
        <w:r w:rsidR="00B57F24">
          <w:rPr>
            <w:noProof/>
            <w:webHidden/>
          </w:rPr>
          <w:fldChar w:fldCharType="end"/>
        </w:r>
      </w:hyperlink>
    </w:p>
    <w:p w14:paraId="4BA600C6" w14:textId="43303E79"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83" w:history="1">
        <w:r w:rsidR="00B57F24" w:rsidRPr="007927EF">
          <w:rPr>
            <w:rStyle w:val="Hyperlink"/>
            <w:noProof/>
          </w:rPr>
          <w:t>5.3</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Exclusion Criteria</w:t>
        </w:r>
        <w:r w:rsidR="00B57F24">
          <w:rPr>
            <w:noProof/>
            <w:webHidden/>
          </w:rPr>
          <w:tab/>
        </w:r>
        <w:r w:rsidR="00B57F24">
          <w:rPr>
            <w:noProof/>
            <w:webHidden/>
          </w:rPr>
          <w:fldChar w:fldCharType="begin"/>
        </w:r>
        <w:r w:rsidR="00B57F24">
          <w:rPr>
            <w:noProof/>
            <w:webHidden/>
          </w:rPr>
          <w:instrText xml:space="preserve"> PAGEREF _Toc233801683 \h </w:instrText>
        </w:r>
        <w:r w:rsidR="00B57F24">
          <w:rPr>
            <w:noProof/>
            <w:webHidden/>
          </w:rPr>
        </w:r>
        <w:r w:rsidR="00B57F24">
          <w:rPr>
            <w:noProof/>
            <w:webHidden/>
          </w:rPr>
          <w:fldChar w:fldCharType="separate"/>
        </w:r>
        <w:r w:rsidR="00272496">
          <w:rPr>
            <w:noProof/>
            <w:webHidden/>
          </w:rPr>
          <w:t>33</w:t>
        </w:r>
        <w:r w:rsidR="00B57F24">
          <w:rPr>
            <w:noProof/>
            <w:webHidden/>
          </w:rPr>
          <w:fldChar w:fldCharType="end"/>
        </w:r>
      </w:hyperlink>
    </w:p>
    <w:p w14:paraId="3A787968" w14:textId="2F919E11"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84" w:history="1">
        <w:r w:rsidR="00B57F24" w:rsidRPr="007927EF">
          <w:rPr>
            <w:rStyle w:val="Hyperlink"/>
            <w:noProof/>
          </w:rPr>
          <w:t>5.4</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Lifestyle Restrictions</w:t>
        </w:r>
        <w:r w:rsidR="00B57F24">
          <w:rPr>
            <w:noProof/>
            <w:webHidden/>
          </w:rPr>
          <w:tab/>
        </w:r>
        <w:r w:rsidR="00B57F24">
          <w:rPr>
            <w:noProof/>
            <w:webHidden/>
          </w:rPr>
          <w:fldChar w:fldCharType="begin"/>
        </w:r>
        <w:r w:rsidR="00B57F24">
          <w:rPr>
            <w:noProof/>
            <w:webHidden/>
          </w:rPr>
          <w:instrText xml:space="preserve"> PAGEREF _Toc233801684 \h </w:instrText>
        </w:r>
        <w:r w:rsidR="00B57F24">
          <w:rPr>
            <w:noProof/>
            <w:webHidden/>
          </w:rPr>
        </w:r>
        <w:r w:rsidR="00B57F24">
          <w:rPr>
            <w:noProof/>
            <w:webHidden/>
          </w:rPr>
          <w:fldChar w:fldCharType="separate"/>
        </w:r>
        <w:r w:rsidR="00272496">
          <w:rPr>
            <w:noProof/>
            <w:webHidden/>
          </w:rPr>
          <w:t>34</w:t>
        </w:r>
        <w:r w:rsidR="00B57F24">
          <w:rPr>
            <w:noProof/>
            <w:webHidden/>
          </w:rPr>
          <w:fldChar w:fldCharType="end"/>
        </w:r>
      </w:hyperlink>
    </w:p>
    <w:p w14:paraId="3AD65D94" w14:textId="743AB8D7"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85" w:history="1">
        <w:r w:rsidR="00B57F24" w:rsidRPr="007927EF">
          <w:rPr>
            <w:rStyle w:val="Hyperlink"/>
            <w:noProof/>
          </w:rPr>
          <w:t>5.5</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Screen Failure and Rescreening</w:t>
        </w:r>
        <w:r w:rsidR="00B57F24">
          <w:rPr>
            <w:noProof/>
            <w:webHidden/>
          </w:rPr>
          <w:tab/>
        </w:r>
        <w:r w:rsidR="00B57F24">
          <w:rPr>
            <w:noProof/>
            <w:webHidden/>
          </w:rPr>
          <w:fldChar w:fldCharType="begin"/>
        </w:r>
        <w:r w:rsidR="00B57F24">
          <w:rPr>
            <w:noProof/>
            <w:webHidden/>
          </w:rPr>
          <w:instrText xml:space="preserve"> PAGEREF _Toc233801685 \h </w:instrText>
        </w:r>
        <w:r w:rsidR="00B57F24">
          <w:rPr>
            <w:noProof/>
            <w:webHidden/>
          </w:rPr>
        </w:r>
        <w:r w:rsidR="00B57F24">
          <w:rPr>
            <w:noProof/>
            <w:webHidden/>
          </w:rPr>
          <w:fldChar w:fldCharType="separate"/>
        </w:r>
        <w:r w:rsidR="00272496">
          <w:rPr>
            <w:noProof/>
            <w:webHidden/>
          </w:rPr>
          <w:t>34</w:t>
        </w:r>
        <w:r w:rsidR="00B57F24">
          <w:rPr>
            <w:noProof/>
            <w:webHidden/>
          </w:rPr>
          <w:fldChar w:fldCharType="end"/>
        </w:r>
      </w:hyperlink>
    </w:p>
    <w:p w14:paraId="4CD0C597" w14:textId="13167A4A" w:rsidR="00B57F24" w:rsidRDefault="00000000">
      <w:pPr>
        <w:pStyle w:val="TOC1"/>
        <w:rPr>
          <w:rFonts w:asciiTheme="minorHAnsi" w:eastAsiaTheme="minorEastAsia" w:hAnsiTheme="minorHAnsi" w:cstheme="minorBidi"/>
          <w:caps w:val="0"/>
          <w:noProof/>
          <w:color w:val="auto"/>
        </w:rPr>
      </w:pPr>
      <w:hyperlink w:anchor="_Toc233801686" w:history="1">
        <w:r w:rsidR="00B57F24" w:rsidRPr="007927EF">
          <w:rPr>
            <w:rStyle w:val="Hyperlink"/>
            <w:noProof/>
          </w:rPr>
          <w:t>6</w:t>
        </w:r>
        <w:r w:rsidR="00B57F24">
          <w:rPr>
            <w:rFonts w:asciiTheme="minorHAnsi" w:eastAsiaTheme="minorEastAsia" w:hAnsiTheme="minorHAnsi" w:cstheme="minorBidi"/>
            <w:caps w:val="0"/>
            <w:noProof/>
            <w:color w:val="auto"/>
          </w:rPr>
          <w:tab/>
        </w:r>
        <w:r w:rsidR="00B57F24" w:rsidRPr="007927EF">
          <w:rPr>
            <w:rStyle w:val="Hyperlink"/>
            <w:noProof/>
          </w:rPr>
          <w:t>Study Intervention and Concomitant Therapy</w:t>
        </w:r>
        <w:r w:rsidR="00B57F24">
          <w:rPr>
            <w:noProof/>
            <w:webHidden/>
          </w:rPr>
          <w:tab/>
        </w:r>
        <w:r w:rsidR="00B57F24">
          <w:rPr>
            <w:noProof/>
            <w:webHidden/>
          </w:rPr>
          <w:fldChar w:fldCharType="begin"/>
        </w:r>
        <w:r w:rsidR="00B57F24">
          <w:rPr>
            <w:noProof/>
            <w:webHidden/>
          </w:rPr>
          <w:instrText xml:space="preserve"> PAGEREF _Toc233801686 \h </w:instrText>
        </w:r>
        <w:r w:rsidR="00B57F24">
          <w:rPr>
            <w:noProof/>
            <w:webHidden/>
          </w:rPr>
        </w:r>
        <w:r w:rsidR="00B57F24">
          <w:rPr>
            <w:noProof/>
            <w:webHidden/>
          </w:rPr>
          <w:fldChar w:fldCharType="separate"/>
        </w:r>
        <w:r w:rsidR="00272496">
          <w:rPr>
            <w:noProof/>
            <w:webHidden/>
          </w:rPr>
          <w:t>35</w:t>
        </w:r>
        <w:r w:rsidR="00B57F24">
          <w:rPr>
            <w:noProof/>
            <w:webHidden/>
          </w:rPr>
          <w:fldChar w:fldCharType="end"/>
        </w:r>
      </w:hyperlink>
    </w:p>
    <w:p w14:paraId="00390EFF" w14:textId="15EE6189"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87" w:history="1">
        <w:r w:rsidR="00B57F24" w:rsidRPr="007927EF">
          <w:rPr>
            <w:rStyle w:val="Hyperlink"/>
            <w:noProof/>
          </w:rPr>
          <w:t>6.1</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Description of Investigational Study Intervention</w:t>
        </w:r>
        <w:r w:rsidR="00B57F24">
          <w:rPr>
            <w:noProof/>
            <w:webHidden/>
          </w:rPr>
          <w:tab/>
        </w:r>
        <w:r w:rsidR="00B57F24">
          <w:rPr>
            <w:noProof/>
            <w:webHidden/>
          </w:rPr>
          <w:fldChar w:fldCharType="begin"/>
        </w:r>
        <w:r w:rsidR="00B57F24">
          <w:rPr>
            <w:noProof/>
            <w:webHidden/>
          </w:rPr>
          <w:instrText xml:space="preserve"> PAGEREF _Toc233801687 \h </w:instrText>
        </w:r>
        <w:r w:rsidR="00B57F24">
          <w:rPr>
            <w:noProof/>
            <w:webHidden/>
          </w:rPr>
        </w:r>
        <w:r w:rsidR="00B57F24">
          <w:rPr>
            <w:noProof/>
            <w:webHidden/>
          </w:rPr>
          <w:fldChar w:fldCharType="separate"/>
        </w:r>
        <w:r w:rsidR="00272496">
          <w:rPr>
            <w:noProof/>
            <w:webHidden/>
          </w:rPr>
          <w:t>35</w:t>
        </w:r>
        <w:r w:rsidR="00B57F24">
          <w:rPr>
            <w:noProof/>
            <w:webHidden/>
          </w:rPr>
          <w:fldChar w:fldCharType="end"/>
        </w:r>
      </w:hyperlink>
    </w:p>
    <w:p w14:paraId="2800F7A6" w14:textId="7BD1221D"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88" w:history="1">
        <w:r w:rsidR="00B57F24" w:rsidRPr="007927EF">
          <w:rPr>
            <w:rStyle w:val="Hyperlink"/>
            <w:noProof/>
          </w:rPr>
          <w:t>6.2</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Preparation, Storage, Handling and Accountability</w:t>
        </w:r>
        <w:r w:rsidR="00B57F24">
          <w:rPr>
            <w:noProof/>
            <w:webHidden/>
          </w:rPr>
          <w:tab/>
        </w:r>
        <w:r w:rsidR="00B57F24">
          <w:rPr>
            <w:noProof/>
            <w:webHidden/>
          </w:rPr>
          <w:fldChar w:fldCharType="begin"/>
        </w:r>
        <w:r w:rsidR="00B57F24">
          <w:rPr>
            <w:noProof/>
            <w:webHidden/>
          </w:rPr>
          <w:instrText xml:space="preserve"> PAGEREF _Toc233801688 \h </w:instrText>
        </w:r>
        <w:r w:rsidR="00B57F24">
          <w:rPr>
            <w:noProof/>
            <w:webHidden/>
          </w:rPr>
        </w:r>
        <w:r w:rsidR="00B57F24">
          <w:rPr>
            <w:noProof/>
            <w:webHidden/>
          </w:rPr>
          <w:fldChar w:fldCharType="separate"/>
        </w:r>
        <w:r w:rsidR="00272496">
          <w:rPr>
            <w:noProof/>
            <w:webHidden/>
          </w:rPr>
          <w:t>35</w:t>
        </w:r>
        <w:r w:rsidR="00B57F24">
          <w:rPr>
            <w:noProof/>
            <w:webHidden/>
          </w:rPr>
          <w:fldChar w:fldCharType="end"/>
        </w:r>
      </w:hyperlink>
    </w:p>
    <w:p w14:paraId="482958D2" w14:textId="7D07E318"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89" w:history="1">
        <w:r w:rsidR="00B57F24" w:rsidRPr="007927EF">
          <w:rPr>
            <w:rStyle w:val="Hyperlink"/>
            <w:noProof/>
          </w:rPr>
          <w:t>6.3</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Assignment to Study Intervention, Randomization, and Blinding</w:t>
        </w:r>
        <w:r w:rsidR="00B57F24">
          <w:rPr>
            <w:noProof/>
            <w:webHidden/>
          </w:rPr>
          <w:tab/>
        </w:r>
        <w:r w:rsidR="00B57F24">
          <w:rPr>
            <w:noProof/>
            <w:webHidden/>
          </w:rPr>
          <w:fldChar w:fldCharType="begin"/>
        </w:r>
        <w:r w:rsidR="00B57F24">
          <w:rPr>
            <w:noProof/>
            <w:webHidden/>
          </w:rPr>
          <w:instrText xml:space="preserve"> PAGEREF _Toc233801689 \h </w:instrText>
        </w:r>
        <w:r w:rsidR="00B57F24">
          <w:rPr>
            <w:noProof/>
            <w:webHidden/>
          </w:rPr>
        </w:r>
        <w:r w:rsidR="00B57F24">
          <w:rPr>
            <w:noProof/>
            <w:webHidden/>
          </w:rPr>
          <w:fldChar w:fldCharType="separate"/>
        </w:r>
        <w:r w:rsidR="00272496">
          <w:rPr>
            <w:noProof/>
            <w:webHidden/>
          </w:rPr>
          <w:t>35</w:t>
        </w:r>
        <w:r w:rsidR="00B57F24">
          <w:rPr>
            <w:noProof/>
            <w:webHidden/>
          </w:rPr>
          <w:fldChar w:fldCharType="end"/>
        </w:r>
      </w:hyperlink>
    </w:p>
    <w:p w14:paraId="75415D62" w14:textId="439DAABD"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90" w:history="1">
        <w:r w:rsidR="00B57F24" w:rsidRPr="007927EF">
          <w:rPr>
            <w:rStyle w:val="Hyperlink"/>
            <w:noProof/>
          </w:rPr>
          <w:t>6.4</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Study Intervention Compliance</w:t>
        </w:r>
        <w:r w:rsidR="00B57F24">
          <w:rPr>
            <w:noProof/>
            <w:webHidden/>
          </w:rPr>
          <w:tab/>
        </w:r>
        <w:r w:rsidR="00B57F24">
          <w:rPr>
            <w:noProof/>
            <w:webHidden/>
          </w:rPr>
          <w:fldChar w:fldCharType="begin"/>
        </w:r>
        <w:r w:rsidR="00B57F24">
          <w:rPr>
            <w:noProof/>
            <w:webHidden/>
          </w:rPr>
          <w:instrText xml:space="preserve"> PAGEREF _Toc233801690 \h </w:instrText>
        </w:r>
        <w:r w:rsidR="00B57F24">
          <w:rPr>
            <w:noProof/>
            <w:webHidden/>
          </w:rPr>
        </w:r>
        <w:r w:rsidR="00B57F24">
          <w:rPr>
            <w:noProof/>
            <w:webHidden/>
          </w:rPr>
          <w:fldChar w:fldCharType="separate"/>
        </w:r>
        <w:r w:rsidR="00272496">
          <w:rPr>
            <w:noProof/>
            <w:webHidden/>
          </w:rPr>
          <w:t>36</w:t>
        </w:r>
        <w:r w:rsidR="00B57F24">
          <w:rPr>
            <w:noProof/>
            <w:webHidden/>
          </w:rPr>
          <w:fldChar w:fldCharType="end"/>
        </w:r>
      </w:hyperlink>
    </w:p>
    <w:p w14:paraId="67A8646C" w14:textId="6ACF4050"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91" w:history="1">
        <w:r w:rsidR="00B57F24" w:rsidRPr="007927EF">
          <w:rPr>
            <w:rStyle w:val="Hyperlink"/>
            <w:noProof/>
          </w:rPr>
          <w:t>6.5</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Dose Modification</w:t>
        </w:r>
        <w:r w:rsidR="00B57F24">
          <w:rPr>
            <w:noProof/>
            <w:webHidden/>
          </w:rPr>
          <w:tab/>
        </w:r>
        <w:r w:rsidR="00B57F24">
          <w:rPr>
            <w:noProof/>
            <w:webHidden/>
          </w:rPr>
          <w:fldChar w:fldCharType="begin"/>
        </w:r>
        <w:r w:rsidR="00B57F24">
          <w:rPr>
            <w:noProof/>
            <w:webHidden/>
          </w:rPr>
          <w:instrText xml:space="preserve"> PAGEREF _Toc233801691 \h </w:instrText>
        </w:r>
        <w:r w:rsidR="00B57F24">
          <w:rPr>
            <w:noProof/>
            <w:webHidden/>
          </w:rPr>
        </w:r>
        <w:r w:rsidR="00B57F24">
          <w:rPr>
            <w:noProof/>
            <w:webHidden/>
          </w:rPr>
          <w:fldChar w:fldCharType="separate"/>
        </w:r>
        <w:r w:rsidR="00272496">
          <w:rPr>
            <w:noProof/>
            <w:webHidden/>
          </w:rPr>
          <w:t>36</w:t>
        </w:r>
        <w:r w:rsidR="00B57F24">
          <w:rPr>
            <w:noProof/>
            <w:webHidden/>
          </w:rPr>
          <w:fldChar w:fldCharType="end"/>
        </w:r>
      </w:hyperlink>
    </w:p>
    <w:p w14:paraId="42216BC2" w14:textId="46BDD65E"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92" w:history="1">
        <w:r w:rsidR="00B57F24" w:rsidRPr="007927EF">
          <w:rPr>
            <w:rStyle w:val="Hyperlink"/>
            <w:noProof/>
          </w:rPr>
          <w:t>6.6</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Treatment Overdose</w:t>
        </w:r>
        <w:r w:rsidR="00B57F24">
          <w:rPr>
            <w:noProof/>
            <w:webHidden/>
          </w:rPr>
          <w:tab/>
        </w:r>
        <w:r w:rsidR="00B57F24">
          <w:rPr>
            <w:noProof/>
            <w:webHidden/>
          </w:rPr>
          <w:fldChar w:fldCharType="begin"/>
        </w:r>
        <w:r w:rsidR="00B57F24">
          <w:rPr>
            <w:noProof/>
            <w:webHidden/>
          </w:rPr>
          <w:instrText xml:space="preserve"> PAGEREF _Toc233801692 \h </w:instrText>
        </w:r>
        <w:r w:rsidR="00B57F24">
          <w:rPr>
            <w:noProof/>
            <w:webHidden/>
          </w:rPr>
        </w:r>
        <w:r w:rsidR="00B57F24">
          <w:rPr>
            <w:noProof/>
            <w:webHidden/>
          </w:rPr>
          <w:fldChar w:fldCharType="separate"/>
        </w:r>
        <w:r w:rsidR="00272496">
          <w:rPr>
            <w:noProof/>
            <w:webHidden/>
          </w:rPr>
          <w:t>36</w:t>
        </w:r>
        <w:r w:rsidR="00B57F24">
          <w:rPr>
            <w:noProof/>
            <w:webHidden/>
          </w:rPr>
          <w:fldChar w:fldCharType="end"/>
        </w:r>
      </w:hyperlink>
    </w:p>
    <w:p w14:paraId="172FDA3B" w14:textId="502FECB1"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93" w:history="1">
        <w:r w:rsidR="00B57F24" w:rsidRPr="007927EF">
          <w:rPr>
            <w:rStyle w:val="Hyperlink"/>
            <w:noProof/>
          </w:rPr>
          <w:t>6.7</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Prior and Concomitant Therapy</w:t>
        </w:r>
        <w:r w:rsidR="00B57F24">
          <w:rPr>
            <w:noProof/>
            <w:webHidden/>
          </w:rPr>
          <w:tab/>
        </w:r>
        <w:r w:rsidR="00B57F24">
          <w:rPr>
            <w:noProof/>
            <w:webHidden/>
          </w:rPr>
          <w:fldChar w:fldCharType="begin"/>
        </w:r>
        <w:r w:rsidR="00B57F24">
          <w:rPr>
            <w:noProof/>
            <w:webHidden/>
          </w:rPr>
          <w:instrText xml:space="preserve"> PAGEREF _Toc233801693 \h </w:instrText>
        </w:r>
        <w:r w:rsidR="00B57F24">
          <w:rPr>
            <w:noProof/>
            <w:webHidden/>
          </w:rPr>
        </w:r>
        <w:r w:rsidR="00B57F24">
          <w:rPr>
            <w:noProof/>
            <w:webHidden/>
          </w:rPr>
          <w:fldChar w:fldCharType="separate"/>
        </w:r>
        <w:r w:rsidR="00272496">
          <w:rPr>
            <w:noProof/>
            <w:webHidden/>
          </w:rPr>
          <w:t>36</w:t>
        </w:r>
        <w:r w:rsidR="00B57F24">
          <w:rPr>
            <w:noProof/>
            <w:webHidden/>
          </w:rPr>
          <w:fldChar w:fldCharType="end"/>
        </w:r>
      </w:hyperlink>
    </w:p>
    <w:p w14:paraId="21D3BA5D" w14:textId="3E0045C8" w:rsidR="00B57F24" w:rsidRDefault="00000000">
      <w:pPr>
        <w:pStyle w:val="TOC1"/>
        <w:rPr>
          <w:rFonts w:asciiTheme="minorHAnsi" w:eastAsiaTheme="minorEastAsia" w:hAnsiTheme="minorHAnsi" w:cstheme="minorBidi"/>
          <w:caps w:val="0"/>
          <w:noProof/>
          <w:color w:val="auto"/>
        </w:rPr>
      </w:pPr>
      <w:hyperlink w:anchor="_Toc233801694" w:history="1">
        <w:r w:rsidR="00B57F24" w:rsidRPr="007927EF">
          <w:rPr>
            <w:rStyle w:val="Hyperlink"/>
            <w:noProof/>
          </w:rPr>
          <w:t>7</w:t>
        </w:r>
        <w:r w:rsidR="00B57F24">
          <w:rPr>
            <w:rFonts w:asciiTheme="minorHAnsi" w:eastAsiaTheme="minorEastAsia" w:hAnsiTheme="minorHAnsi" w:cstheme="minorBidi"/>
            <w:caps w:val="0"/>
            <w:noProof/>
            <w:color w:val="auto"/>
          </w:rPr>
          <w:tab/>
        </w:r>
        <w:r w:rsidR="00B57F24" w:rsidRPr="007927EF">
          <w:rPr>
            <w:rStyle w:val="Hyperlink"/>
            <w:noProof/>
          </w:rPr>
          <w:t>Discontinuation of Study Intervention and Patient Withdrawal</w:t>
        </w:r>
        <w:r w:rsidR="00B57F24">
          <w:rPr>
            <w:noProof/>
            <w:webHidden/>
          </w:rPr>
          <w:tab/>
        </w:r>
        <w:r w:rsidR="00B57F24">
          <w:rPr>
            <w:noProof/>
            <w:webHidden/>
          </w:rPr>
          <w:fldChar w:fldCharType="begin"/>
        </w:r>
        <w:r w:rsidR="00B57F24">
          <w:rPr>
            <w:noProof/>
            <w:webHidden/>
          </w:rPr>
          <w:instrText xml:space="preserve"> PAGEREF _Toc233801694 \h </w:instrText>
        </w:r>
        <w:r w:rsidR="00B57F24">
          <w:rPr>
            <w:noProof/>
            <w:webHidden/>
          </w:rPr>
        </w:r>
        <w:r w:rsidR="00B57F24">
          <w:rPr>
            <w:noProof/>
            <w:webHidden/>
          </w:rPr>
          <w:fldChar w:fldCharType="separate"/>
        </w:r>
        <w:r w:rsidR="00272496">
          <w:rPr>
            <w:noProof/>
            <w:webHidden/>
          </w:rPr>
          <w:t>38</w:t>
        </w:r>
        <w:r w:rsidR="00B57F24">
          <w:rPr>
            <w:noProof/>
            <w:webHidden/>
          </w:rPr>
          <w:fldChar w:fldCharType="end"/>
        </w:r>
      </w:hyperlink>
    </w:p>
    <w:p w14:paraId="52A14CB6" w14:textId="309415B9"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95" w:history="1">
        <w:r w:rsidR="00B57F24" w:rsidRPr="007927EF">
          <w:rPr>
            <w:rStyle w:val="Hyperlink"/>
            <w:noProof/>
          </w:rPr>
          <w:t>7.1</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Discontinuation of Study Intervention</w:t>
        </w:r>
        <w:r w:rsidR="00B57F24">
          <w:rPr>
            <w:noProof/>
            <w:webHidden/>
          </w:rPr>
          <w:tab/>
        </w:r>
        <w:r w:rsidR="00B57F24">
          <w:rPr>
            <w:noProof/>
            <w:webHidden/>
          </w:rPr>
          <w:fldChar w:fldCharType="begin"/>
        </w:r>
        <w:r w:rsidR="00B57F24">
          <w:rPr>
            <w:noProof/>
            <w:webHidden/>
          </w:rPr>
          <w:instrText xml:space="preserve"> PAGEREF _Toc233801695 \h </w:instrText>
        </w:r>
        <w:r w:rsidR="00B57F24">
          <w:rPr>
            <w:noProof/>
            <w:webHidden/>
          </w:rPr>
        </w:r>
        <w:r w:rsidR="00B57F24">
          <w:rPr>
            <w:noProof/>
            <w:webHidden/>
          </w:rPr>
          <w:fldChar w:fldCharType="separate"/>
        </w:r>
        <w:r w:rsidR="00272496">
          <w:rPr>
            <w:noProof/>
            <w:webHidden/>
          </w:rPr>
          <w:t>38</w:t>
        </w:r>
        <w:r w:rsidR="00B57F24">
          <w:rPr>
            <w:noProof/>
            <w:webHidden/>
          </w:rPr>
          <w:fldChar w:fldCharType="end"/>
        </w:r>
      </w:hyperlink>
    </w:p>
    <w:p w14:paraId="1108D489" w14:textId="21CAFD61"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96" w:history="1">
        <w:r w:rsidR="00B57F24" w:rsidRPr="007927EF">
          <w:rPr>
            <w:rStyle w:val="Hyperlink"/>
            <w:noProof/>
          </w:rPr>
          <w:t>7.2</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Patient Withdrawal From the Study</w:t>
        </w:r>
        <w:r w:rsidR="00B57F24">
          <w:rPr>
            <w:noProof/>
            <w:webHidden/>
          </w:rPr>
          <w:tab/>
        </w:r>
        <w:r w:rsidR="00B57F24">
          <w:rPr>
            <w:noProof/>
            <w:webHidden/>
          </w:rPr>
          <w:fldChar w:fldCharType="begin"/>
        </w:r>
        <w:r w:rsidR="00B57F24">
          <w:rPr>
            <w:noProof/>
            <w:webHidden/>
          </w:rPr>
          <w:instrText xml:space="preserve"> PAGEREF _Toc233801696 \h </w:instrText>
        </w:r>
        <w:r w:rsidR="00B57F24">
          <w:rPr>
            <w:noProof/>
            <w:webHidden/>
          </w:rPr>
        </w:r>
        <w:r w:rsidR="00B57F24">
          <w:rPr>
            <w:noProof/>
            <w:webHidden/>
          </w:rPr>
          <w:fldChar w:fldCharType="separate"/>
        </w:r>
        <w:r w:rsidR="00272496">
          <w:rPr>
            <w:noProof/>
            <w:webHidden/>
          </w:rPr>
          <w:t>38</w:t>
        </w:r>
        <w:r w:rsidR="00B57F24">
          <w:rPr>
            <w:noProof/>
            <w:webHidden/>
          </w:rPr>
          <w:fldChar w:fldCharType="end"/>
        </w:r>
      </w:hyperlink>
    </w:p>
    <w:p w14:paraId="1ACE4D42" w14:textId="27D0E723"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97" w:history="1">
        <w:r w:rsidR="00B57F24" w:rsidRPr="007927EF">
          <w:rPr>
            <w:rStyle w:val="Hyperlink"/>
            <w:noProof/>
          </w:rPr>
          <w:t>7.3</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Management of Loss to Follow-Up</w:t>
        </w:r>
        <w:r w:rsidR="00B57F24">
          <w:rPr>
            <w:noProof/>
            <w:webHidden/>
          </w:rPr>
          <w:tab/>
        </w:r>
        <w:r w:rsidR="00B57F24">
          <w:rPr>
            <w:noProof/>
            <w:webHidden/>
          </w:rPr>
          <w:fldChar w:fldCharType="begin"/>
        </w:r>
        <w:r w:rsidR="00B57F24">
          <w:rPr>
            <w:noProof/>
            <w:webHidden/>
          </w:rPr>
          <w:instrText xml:space="preserve"> PAGEREF _Toc233801697 \h </w:instrText>
        </w:r>
        <w:r w:rsidR="00B57F24">
          <w:rPr>
            <w:noProof/>
            <w:webHidden/>
          </w:rPr>
        </w:r>
        <w:r w:rsidR="00B57F24">
          <w:rPr>
            <w:noProof/>
            <w:webHidden/>
          </w:rPr>
          <w:fldChar w:fldCharType="separate"/>
        </w:r>
        <w:r w:rsidR="00272496">
          <w:rPr>
            <w:noProof/>
            <w:webHidden/>
          </w:rPr>
          <w:t>38</w:t>
        </w:r>
        <w:r w:rsidR="00B57F24">
          <w:rPr>
            <w:noProof/>
            <w:webHidden/>
          </w:rPr>
          <w:fldChar w:fldCharType="end"/>
        </w:r>
      </w:hyperlink>
    </w:p>
    <w:p w14:paraId="7776AD5F" w14:textId="72F85CBE" w:rsidR="00B57F24" w:rsidRDefault="00000000">
      <w:pPr>
        <w:pStyle w:val="TOC1"/>
        <w:rPr>
          <w:rFonts w:asciiTheme="minorHAnsi" w:eastAsiaTheme="minorEastAsia" w:hAnsiTheme="minorHAnsi" w:cstheme="minorBidi"/>
          <w:caps w:val="0"/>
          <w:noProof/>
          <w:color w:val="auto"/>
        </w:rPr>
      </w:pPr>
      <w:hyperlink w:anchor="_Toc233801698" w:history="1">
        <w:r w:rsidR="00B57F24" w:rsidRPr="007927EF">
          <w:rPr>
            <w:rStyle w:val="Hyperlink"/>
            <w:noProof/>
          </w:rPr>
          <w:t>8</w:t>
        </w:r>
        <w:r w:rsidR="00B57F24">
          <w:rPr>
            <w:rFonts w:asciiTheme="minorHAnsi" w:eastAsiaTheme="minorEastAsia" w:hAnsiTheme="minorHAnsi" w:cstheme="minorBidi"/>
            <w:caps w:val="0"/>
            <w:noProof/>
            <w:color w:val="auto"/>
          </w:rPr>
          <w:tab/>
        </w:r>
        <w:r w:rsidR="00B57F24" w:rsidRPr="007927EF">
          <w:rPr>
            <w:rStyle w:val="Hyperlink"/>
            <w:noProof/>
          </w:rPr>
          <w:t>Study Assessments and Procedures</w:t>
        </w:r>
        <w:r w:rsidR="00B57F24">
          <w:rPr>
            <w:noProof/>
            <w:webHidden/>
          </w:rPr>
          <w:tab/>
        </w:r>
        <w:r w:rsidR="00B57F24">
          <w:rPr>
            <w:noProof/>
            <w:webHidden/>
          </w:rPr>
          <w:fldChar w:fldCharType="begin"/>
        </w:r>
        <w:r w:rsidR="00B57F24">
          <w:rPr>
            <w:noProof/>
            <w:webHidden/>
          </w:rPr>
          <w:instrText xml:space="preserve"> PAGEREF _Toc233801698 \h </w:instrText>
        </w:r>
        <w:r w:rsidR="00B57F24">
          <w:rPr>
            <w:noProof/>
            <w:webHidden/>
          </w:rPr>
        </w:r>
        <w:r w:rsidR="00B57F24">
          <w:rPr>
            <w:noProof/>
            <w:webHidden/>
          </w:rPr>
          <w:fldChar w:fldCharType="separate"/>
        </w:r>
        <w:r w:rsidR="00272496">
          <w:rPr>
            <w:noProof/>
            <w:webHidden/>
          </w:rPr>
          <w:t>40</w:t>
        </w:r>
        <w:r w:rsidR="00B57F24">
          <w:rPr>
            <w:noProof/>
            <w:webHidden/>
          </w:rPr>
          <w:fldChar w:fldCharType="end"/>
        </w:r>
      </w:hyperlink>
    </w:p>
    <w:p w14:paraId="1EE611E5" w14:textId="65B277B2"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699" w:history="1">
        <w:r w:rsidR="00B57F24" w:rsidRPr="007927EF">
          <w:rPr>
            <w:rStyle w:val="Hyperlink"/>
            <w:noProof/>
          </w:rPr>
          <w:t>8.1</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Screening and Baseline Assessments</w:t>
        </w:r>
        <w:r w:rsidR="00B57F24">
          <w:rPr>
            <w:noProof/>
            <w:webHidden/>
          </w:rPr>
          <w:tab/>
        </w:r>
        <w:r w:rsidR="00B57F24">
          <w:rPr>
            <w:noProof/>
            <w:webHidden/>
          </w:rPr>
          <w:fldChar w:fldCharType="begin"/>
        </w:r>
        <w:r w:rsidR="00B57F24">
          <w:rPr>
            <w:noProof/>
            <w:webHidden/>
          </w:rPr>
          <w:instrText xml:space="preserve"> PAGEREF _Toc233801699 \h </w:instrText>
        </w:r>
        <w:r w:rsidR="00B57F24">
          <w:rPr>
            <w:noProof/>
            <w:webHidden/>
          </w:rPr>
        </w:r>
        <w:r w:rsidR="00B57F24">
          <w:rPr>
            <w:noProof/>
            <w:webHidden/>
          </w:rPr>
          <w:fldChar w:fldCharType="separate"/>
        </w:r>
        <w:r w:rsidR="00272496">
          <w:rPr>
            <w:noProof/>
            <w:webHidden/>
          </w:rPr>
          <w:t>40</w:t>
        </w:r>
        <w:r w:rsidR="00B57F24">
          <w:rPr>
            <w:noProof/>
            <w:webHidden/>
          </w:rPr>
          <w:fldChar w:fldCharType="end"/>
        </w:r>
      </w:hyperlink>
    </w:p>
    <w:p w14:paraId="7B4945BF" w14:textId="3C9C098B"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00" w:history="1">
        <w:r w:rsidR="00B57F24" w:rsidRPr="007927EF">
          <w:rPr>
            <w:rStyle w:val="Hyperlink"/>
            <w:noProof/>
          </w:rPr>
          <w:t>8.2</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Efficacy Assessments (RECIST v1.1)</w:t>
        </w:r>
        <w:r w:rsidR="00B57F24">
          <w:rPr>
            <w:noProof/>
            <w:webHidden/>
          </w:rPr>
          <w:tab/>
        </w:r>
        <w:r w:rsidR="00B57F24">
          <w:rPr>
            <w:noProof/>
            <w:webHidden/>
          </w:rPr>
          <w:fldChar w:fldCharType="begin"/>
        </w:r>
        <w:r w:rsidR="00B57F24">
          <w:rPr>
            <w:noProof/>
            <w:webHidden/>
          </w:rPr>
          <w:instrText xml:space="preserve"> PAGEREF _Toc233801700 \h </w:instrText>
        </w:r>
        <w:r w:rsidR="00B57F24">
          <w:rPr>
            <w:noProof/>
            <w:webHidden/>
          </w:rPr>
        </w:r>
        <w:r w:rsidR="00B57F24">
          <w:rPr>
            <w:noProof/>
            <w:webHidden/>
          </w:rPr>
          <w:fldChar w:fldCharType="separate"/>
        </w:r>
        <w:r w:rsidR="00272496">
          <w:rPr>
            <w:noProof/>
            <w:webHidden/>
          </w:rPr>
          <w:t>40</w:t>
        </w:r>
        <w:r w:rsidR="00B57F24">
          <w:rPr>
            <w:noProof/>
            <w:webHidden/>
          </w:rPr>
          <w:fldChar w:fldCharType="end"/>
        </w:r>
      </w:hyperlink>
    </w:p>
    <w:p w14:paraId="45059C22" w14:textId="72D9C3DF"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01" w:history="1">
        <w:r w:rsidR="00B57F24" w:rsidRPr="007927EF">
          <w:rPr>
            <w:rStyle w:val="Hyperlink"/>
            <w:noProof/>
          </w:rPr>
          <w:t>8.3</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Safety Assessments</w:t>
        </w:r>
        <w:r w:rsidR="00B57F24">
          <w:rPr>
            <w:noProof/>
            <w:webHidden/>
          </w:rPr>
          <w:tab/>
        </w:r>
        <w:r w:rsidR="00B57F24">
          <w:rPr>
            <w:noProof/>
            <w:webHidden/>
          </w:rPr>
          <w:fldChar w:fldCharType="begin"/>
        </w:r>
        <w:r w:rsidR="00B57F24">
          <w:rPr>
            <w:noProof/>
            <w:webHidden/>
          </w:rPr>
          <w:instrText xml:space="preserve"> PAGEREF _Toc233801701 \h </w:instrText>
        </w:r>
        <w:r w:rsidR="00B57F24">
          <w:rPr>
            <w:noProof/>
            <w:webHidden/>
          </w:rPr>
        </w:r>
        <w:r w:rsidR="00B57F24">
          <w:rPr>
            <w:noProof/>
            <w:webHidden/>
          </w:rPr>
          <w:fldChar w:fldCharType="separate"/>
        </w:r>
        <w:r w:rsidR="00272496">
          <w:rPr>
            <w:noProof/>
            <w:webHidden/>
          </w:rPr>
          <w:t>40</w:t>
        </w:r>
        <w:r w:rsidR="00B57F24">
          <w:rPr>
            <w:noProof/>
            <w:webHidden/>
          </w:rPr>
          <w:fldChar w:fldCharType="end"/>
        </w:r>
      </w:hyperlink>
    </w:p>
    <w:p w14:paraId="0343A5D6" w14:textId="4ED05DA0"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02" w:history="1">
        <w:r w:rsidR="00B57F24" w:rsidRPr="007927EF">
          <w:rPr>
            <w:rStyle w:val="Hyperlink"/>
            <w:noProof/>
          </w:rPr>
          <w:t>8.4</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Pharmacokinetics</w:t>
        </w:r>
        <w:r w:rsidR="00B57F24">
          <w:rPr>
            <w:noProof/>
            <w:webHidden/>
          </w:rPr>
          <w:tab/>
        </w:r>
        <w:r w:rsidR="00B57F24">
          <w:rPr>
            <w:noProof/>
            <w:webHidden/>
          </w:rPr>
          <w:fldChar w:fldCharType="begin"/>
        </w:r>
        <w:r w:rsidR="00B57F24">
          <w:rPr>
            <w:noProof/>
            <w:webHidden/>
          </w:rPr>
          <w:instrText xml:space="preserve"> PAGEREF _Toc233801702 \h </w:instrText>
        </w:r>
        <w:r w:rsidR="00B57F24">
          <w:rPr>
            <w:noProof/>
            <w:webHidden/>
          </w:rPr>
        </w:r>
        <w:r w:rsidR="00B57F24">
          <w:rPr>
            <w:noProof/>
            <w:webHidden/>
          </w:rPr>
          <w:fldChar w:fldCharType="separate"/>
        </w:r>
        <w:r w:rsidR="00272496">
          <w:rPr>
            <w:noProof/>
            <w:webHidden/>
          </w:rPr>
          <w:t>41</w:t>
        </w:r>
        <w:r w:rsidR="00B57F24">
          <w:rPr>
            <w:noProof/>
            <w:webHidden/>
          </w:rPr>
          <w:fldChar w:fldCharType="end"/>
        </w:r>
      </w:hyperlink>
    </w:p>
    <w:p w14:paraId="553DC248" w14:textId="0823A189"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03" w:history="1">
        <w:r w:rsidR="00B57F24" w:rsidRPr="007927EF">
          <w:rPr>
            <w:rStyle w:val="Hyperlink"/>
            <w:noProof/>
          </w:rPr>
          <w:t>8.5</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Genetics</w:t>
        </w:r>
        <w:r w:rsidR="00B57F24">
          <w:rPr>
            <w:noProof/>
            <w:webHidden/>
          </w:rPr>
          <w:tab/>
        </w:r>
        <w:r w:rsidR="00B57F24">
          <w:rPr>
            <w:noProof/>
            <w:webHidden/>
          </w:rPr>
          <w:fldChar w:fldCharType="begin"/>
        </w:r>
        <w:r w:rsidR="00B57F24">
          <w:rPr>
            <w:noProof/>
            <w:webHidden/>
          </w:rPr>
          <w:instrText xml:space="preserve"> PAGEREF _Toc233801703 \h </w:instrText>
        </w:r>
        <w:r w:rsidR="00B57F24">
          <w:rPr>
            <w:noProof/>
            <w:webHidden/>
          </w:rPr>
        </w:r>
        <w:r w:rsidR="00B57F24">
          <w:rPr>
            <w:noProof/>
            <w:webHidden/>
          </w:rPr>
          <w:fldChar w:fldCharType="separate"/>
        </w:r>
        <w:r w:rsidR="00272496">
          <w:rPr>
            <w:noProof/>
            <w:webHidden/>
          </w:rPr>
          <w:t>41</w:t>
        </w:r>
        <w:r w:rsidR="00B57F24">
          <w:rPr>
            <w:noProof/>
            <w:webHidden/>
          </w:rPr>
          <w:fldChar w:fldCharType="end"/>
        </w:r>
      </w:hyperlink>
    </w:p>
    <w:p w14:paraId="3D531F32" w14:textId="364DF439"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04" w:history="1">
        <w:r w:rsidR="00B57F24" w:rsidRPr="007927EF">
          <w:rPr>
            <w:rStyle w:val="Hyperlink"/>
            <w:noProof/>
          </w:rPr>
          <w:t>8.6</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Biomarkers</w:t>
        </w:r>
        <w:r w:rsidR="00B57F24">
          <w:rPr>
            <w:noProof/>
            <w:webHidden/>
          </w:rPr>
          <w:tab/>
        </w:r>
        <w:r w:rsidR="00B57F24">
          <w:rPr>
            <w:noProof/>
            <w:webHidden/>
          </w:rPr>
          <w:fldChar w:fldCharType="begin"/>
        </w:r>
        <w:r w:rsidR="00B57F24">
          <w:rPr>
            <w:noProof/>
            <w:webHidden/>
          </w:rPr>
          <w:instrText xml:space="preserve"> PAGEREF _Toc233801704 \h </w:instrText>
        </w:r>
        <w:r w:rsidR="00B57F24">
          <w:rPr>
            <w:noProof/>
            <w:webHidden/>
          </w:rPr>
        </w:r>
        <w:r w:rsidR="00B57F24">
          <w:rPr>
            <w:noProof/>
            <w:webHidden/>
          </w:rPr>
          <w:fldChar w:fldCharType="separate"/>
        </w:r>
        <w:r w:rsidR="00272496">
          <w:rPr>
            <w:noProof/>
            <w:webHidden/>
          </w:rPr>
          <w:t>41</w:t>
        </w:r>
        <w:r w:rsidR="00B57F24">
          <w:rPr>
            <w:noProof/>
            <w:webHidden/>
          </w:rPr>
          <w:fldChar w:fldCharType="end"/>
        </w:r>
      </w:hyperlink>
    </w:p>
    <w:p w14:paraId="38E0A63E" w14:textId="598266C4" w:rsidR="00B57F24" w:rsidRDefault="00000000">
      <w:pPr>
        <w:pStyle w:val="TOC1"/>
        <w:rPr>
          <w:rFonts w:asciiTheme="minorHAnsi" w:eastAsiaTheme="minorEastAsia" w:hAnsiTheme="minorHAnsi" w:cstheme="minorBidi"/>
          <w:caps w:val="0"/>
          <w:noProof/>
          <w:color w:val="auto"/>
        </w:rPr>
      </w:pPr>
      <w:hyperlink w:anchor="_Toc233801705" w:history="1">
        <w:r w:rsidR="00B57F24" w:rsidRPr="007927EF">
          <w:rPr>
            <w:rStyle w:val="Hyperlink"/>
            <w:noProof/>
          </w:rPr>
          <w:t>9</w:t>
        </w:r>
        <w:r w:rsidR="00B57F24">
          <w:rPr>
            <w:rFonts w:asciiTheme="minorHAnsi" w:eastAsiaTheme="minorEastAsia" w:hAnsiTheme="minorHAnsi" w:cstheme="minorBidi"/>
            <w:caps w:val="0"/>
            <w:noProof/>
            <w:color w:val="auto"/>
          </w:rPr>
          <w:tab/>
        </w:r>
        <w:r w:rsidR="00B57F24" w:rsidRPr="007927EF">
          <w:rPr>
            <w:rStyle w:val="Hyperlink"/>
            <w:noProof/>
          </w:rPr>
          <w:t>Adverse Events, Serious Adverse Events, and Safety Reporting</w:t>
        </w:r>
        <w:r w:rsidR="00B57F24">
          <w:rPr>
            <w:noProof/>
            <w:webHidden/>
          </w:rPr>
          <w:tab/>
        </w:r>
        <w:r w:rsidR="00B57F24">
          <w:rPr>
            <w:noProof/>
            <w:webHidden/>
          </w:rPr>
          <w:fldChar w:fldCharType="begin"/>
        </w:r>
        <w:r w:rsidR="00B57F24">
          <w:rPr>
            <w:noProof/>
            <w:webHidden/>
          </w:rPr>
          <w:instrText xml:space="preserve"> PAGEREF _Toc233801705 \h </w:instrText>
        </w:r>
        <w:r w:rsidR="00B57F24">
          <w:rPr>
            <w:noProof/>
            <w:webHidden/>
          </w:rPr>
        </w:r>
        <w:r w:rsidR="00B57F24">
          <w:rPr>
            <w:noProof/>
            <w:webHidden/>
          </w:rPr>
          <w:fldChar w:fldCharType="separate"/>
        </w:r>
        <w:r w:rsidR="00272496">
          <w:rPr>
            <w:noProof/>
            <w:webHidden/>
          </w:rPr>
          <w:t>42</w:t>
        </w:r>
        <w:r w:rsidR="00B57F24">
          <w:rPr>
            <w:noProof/>
            <w:webHidden/>
          </w:rPr>
          <w:fldChar w:fldCharType="end"/>
        </w:r>
      </w:hyperlink>
    </w:p>
    <w:p w14:paraId="1D5673A4" w14:textId="655199BE"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06" w:history="1">
        <w:r w:rsidR="00B57F24" w:rsidRPr="007927EF">
          <w:rPr>
            <w:rStyle w:val="Hyperlink"/>
            <w:noProof/>
          </w:rPr>
          <w:t>9.1</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of Adverse EventsAdverse Event Definitions</w:t>
        </w:r>
        <w:r w:rsidR="00B57F24">
          <w:rPr>
            <w:noProof/>
            <w:webHidden/>
          </w:rPr>
          <w:tab/>
        </w:r>
        <w:r w:rsidR="00B57F24">
          <w:rPr>
            <w:noProof/>
            <w:webHidden/>
          </w:rPr>
          <w:fldChar w:fldCharType="begin"/>
        </w:r>
        <w:r w:rsidR="00B57F24">
          <w:rPr>
            <w:noProof/>
            <w:webHidden/>
          </w:rPr>
          <w:instrText xml:space="preserve"> PAGEREF _Toc233801706 \h </w:instrText>
        </w:r>
        <w:r w:rsidR="00B57F24">
          <w:rPr>
            <w:noProof/>
            <w:webHidden/>
          </w:rPr>
        </w:r>
        <w:r w:rsidR="00B57F24">
          <w:rPr>
            <w:noProof/>
            <w:webHidden/>
          </w:rPr>
          <w:fldChar w:fldCharType="separate"/>
        </w:r>
        <w:r w:rsidR="00272496">
          <w:rPr>
            <w:noProof/>
            <w:webHidden/>
          </w:rPr>
          <w:t>42</w:t>
        </w:r>
        <w:r w:rsidR="00B57F24">
          <w:rPr>
            <w:noProof/>
            <w:webHidden/>
          </w:rPr>
          <w:fldChar w:fldCharType="end"/>
        </w:r>
      </w:hyperlink>
    </w:p>
    <w:p w14:paraId="189F0943" w14:textId="10B5B4AE"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07" w:history="1">
        <w:r w:rsidR="00B57F24" w:rsidRPr="007927EF">
          <w:rPr>
            <w:rStyle w:val="Hyperlink"/>
            <w:noProof/>
          </w:rPr>
          <w:t>9.2</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Severity and Causality</w:t>
        </w:r>
        <w:r w:rsidR="00B57F24">
          <w:rPr>
            <w:noProof/>
            <w:webHidden/>
          </w:rPr>
          <w:tab/>
        </w:r>
        <w:r w:rsidR="00B57F24">
          <w:rPr>
            <w:noProof/>
            <w:webHidden/>
          </w:rPr>
          <w:fldChar w:fldCharType="begin"/>
        </w:r>
        <w:r w:rsidR="00B57F24">
          <w:rPr>
            <w:noProof/>
            <w:webHidden/>
          </w:rPr>
          <w:instrText xml:space="preserve"> PAGEREF _Toc233801707 \h </w:instrText>
        </w:r>
        <w:r w:rsidR="00B57F24">
          <w:rPr>
            <w:noProof/>
            <w:webHidden/>
          </w:rPr>
        </w:r>
        <w:r w:rsidR="00B57F24">
          <w:rPr>
            <w:noProof/>
            <w:webHidden/>
          </w:rPr>
          <w:fldChar w:fldCharType="separate"/>
        </w:r>
        <w:r w:rsidR="00272496">
          <w:rPr>
            <w:noProof/>
            <w:webHidden/>
          </w:rPr>
          <w:t>42</w:t>
        </w:r>
        <w:r w:rsidR="00B57F24">
          <w:rPr>
            <w:noProof/>
            <w:webHidden/>
          </w:rPr>
          <w:fldChar w:fldCharType="end"/>
        </w:r>
      </w:hyperlink>
    </w:p>
    <w:p w14:paraId="28330909" w14:textId="4B4926EF"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08" w:history="1">
        <w:r w:rsidR="00B57F24" w:rsidRPr="007927EF">
          <w:rPr>
            <w:rStyle w:val="Hyperlink"/>
            <w:noProof/>
          </w:rPr>
          <w:t>9.3</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Timing and Procedures for Collection and Reporting</w:t>
        </w:r>
        <w:r w:rsidR="00B57F24">
          <w:rPr>
            <w:noProof/>
            <w:webHidden/>
          </w:rPr>
          <w:tab/>
        </w:r>
        <w:r w:rsidR="00B57F24">
          <w:rPr>
            <w:noProof/>
            <w:webHidden/>
          </w:rPr>
          <w:fldChar w:fldCharType="begin"/>
        </w:r>
        <w:r w:rsidR="00B57F24">
          <w:rPr>
            <w:noProof/>
            <w:webHidden/>
          </w:rPr>
          <w:instrText xml:space="preserve"> PAGEREF _Toc233801708 \h </w:instrText>
        </w:r>
        <w:r w:rsidR="00B57F24">
          <w:rPr>
            <w:noProof/>
            <w:webHidden/>
          </w:rPr>
        </w:r>
        <w:r w:rsidR="00B57F24">
          <w:rPr>
            <w:noProof/>
            <w:webHidden/>
          </w:rPr>
          <w:fldChar w:fldCharType="separate"/>
        </w:r>
        <w:r w:rsidR="00272496">
          <w:rPr>
            <w:noProof/>
            <w:webHidden/>
          </w:rPr>
          <w:t>43</w:t>
        </w:r>
        <w:r w:rsidR="00B57F24">
          <w:rPr>
            <w:noProof/>
            <w:webHidden/>
          </w:rPr>
          <w:fldChar w:fldCharType="end"/>
        </w:r>
      </w:hyperlink>
    </w:p>
    <w:p w14:paraId="48EE72DD" w14:textId="2F3344E9"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09" w:history="1">
        <w:r w:rsidR="00B57F24" w:rsidRPr="007927EF">
          <w:rPr>
            <w:rStyle w:val="Hyperlink"/>
            <w:noProof/>
          </w:rPr>
          <w:t>9.4</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Pregnancy and Postpartum Information</w:t>
        </w:r>
        <w:r w:rsidR="00B57F24">
          <w:rPr>
            <w:noProof/>
            <w:webHidden/>
          </w:rPr>
          <w:tab/>
        </w:r>
        <w:r w:rsidR="00B57F24">
          <w:rPr>
            <w:noProof/>
            <w:webHidden/>
          </w:rPr>
          <w:fldChar w:fldCharType="begin"/>
        </w:r>
        <w:r w:rsidR="00B57F24">
          <w:rPr>
            <w:noProof/>
            <w:webHidden/>
          </w:rPr>
          <w:instrText xml:space="preserve"> PAGEREF _Toc233801709 \h </w:instrText>
        </w:r>
        <w:r w:rsidR="00B57F24">
          <w:rPr>
            <w:noProof/>
            <w:webHidden/>
          </w:rPr>
        </w:r>
        <w:r w:rsidR="00B57F24">
          <w:rPr>
            <w:noProof/>
            <w:webHidden/>
          </w:rPr>
          <w:fldChar w:fldCharType="separate"/>
        </w:r>
        <w:r w:rsidR="00272496">
          <w:rPr>
            <w:noProof/>
            <w:webHidden/>
          </w:rPr>
          <w:t>44</w:t>
        </w:r>
        <w:r w:rsidR="00B57F24">
          <w:rPr>
            <w:noProof/>
            <w:webHidden/>
          </w:rPr>
          <w:fldChar w:fldCharType="end"/>
        </w:r>
      </w:hyperlink>
    </w:p>
    <w:p w14:paraId="7EB964E5" w14:textId="34EF56C6"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10" w:history="1">
        <w:r w:rsidR="00B57F24" w:rsidRPr="007927EF">
          <w:rPr>
            <w:rStyle w:val="Hyperlink"/>
            <w:noProof/>
          </w:rPr>
          <w:t>9.5</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Special Safety Situations</w:t>
        </w:r>
        <w:r w:rsidR="00B57F24">
          <w:rPr>
            <w:noProof/>
            <w:webHidden/>
          </w:rPr>
          <w:tab/>
        </w:r>
        <w:r w:rsidR="00B57F24">
          <w:rPr>
            <w:noProof/>
            <w:webHidden/>
          </w:rPr>
          <w:fldChar w:fldCharType="begin"/>
        </w:r>
        <w:r w:rsidR="00B57F24">
          <w:rPr>
            <w:noProof/>
            <w:webHidden/>
          </w:rPr>
          <w:instrText xml:space="preserve"> PAGEREF _Toc233801710 \h </w:instrText>
        </w:r>
        <w:r w:rsidR="00B57F24">
          <w:rPr>
            <w:noProof/>
            <w:webHidden/>
          </w:rPr>
        </w:r>
        <w:r w:rsidR="00B57F24">
          <w:rPr>
            <w:noProof/>
            <w:webHidden/>
          </w:rPr>
          <w:fldChar w:fldCharType="separate"/>
        </w:r>
        <w:r w:rsidR="00272496">
          <w:rPr>
            <w:noProof/>
            <w:webHidden/>
          </w:rPr>
          <w:t>44</w:t>
        </w:r>
        <w:r w:rsidR="00B57F24">
          <w:rPr>
            <w:noProof/>
            <w:webHidden/>
          </w:rPr>
          <w:fldChar w:fldCharType="end"/>
        </w:r>
      </w:hyperlink>
    </w:p>
    <w:p w14:paraId="29609283" w14:textId="3595304F" w:rsidR="00B57F24" w:rsidRDefault="00000000">
      <w:pPr>
        <w:pStyle w:val="TOC1"/>
        <w:rPr>
          <w:rFonts w:asciiTheme="minorHAnsi" w:eastAsiaTheme="minorEastAsia" w:hAnsiTheme="minorHAnsi" w:cstheme="minorBidi"/>
          <w:caps w:val="0"/>
          <w:noProof/>
          <w:color w:val="auto"/>
        </w:rPr>
      </w:pPr>
      <w:hyperlink w:anchor="_Toc233801711" w:history="1">
        <w:r w:rsidR="00B57F24" w:rsidRPr="007927EF">
          <w:rPr>
            <w:rStyle w:val="Hyperlink"/>
            <w:noProof/>
          </w:rPr>
          <w:t>10</w:t>
        </w:r>
        <w:r w:rsidR="00B57F24">
          <w:rPr>
            <w:rFonts w:asciiTheme="minorHAnsi" w:eastAsiaTheme="minorEastAsia" w:hAnsiTheme="minorHAnsi" w:cstheme="minorBidi"/>
            <w:caps w:val="0"/>
            <w:noProof/>
            <w:color w:val="auto"/>
          </w:rPr>
          <w:tab/>
        </w:r>
        <w:r w:rsidR="00B57F24" w:rsidRPr="007927EF">
          <w:rPr>
            <w:rStyle w:val="Hyperlink"/>
            <w:noProof/>
          </w:rPr>
          <w:t>Statistical Considerations</w:t>
        </w:r>
        <w:r w:rsidR="00B57F24">
          <w:rPr>
            <w:noProof/>
            <w:webHidden/>
          </w:rPr>
          <w:tab/>
        </w:r>
        <w:r w:rsidR="00B57F24">
          <w:rPr>
            <w:noProof/>
            <w:webHidden/>
          </w:rPr>
          <w:fldChar w:fldCharType="begin"/>
        </w:r>
        <w:r w:rsidR="00B57F24">
          <w:rPr>
            <w:noProof/>
            <w:webHidden/>
          </w:rPr>
          <w:instrText xml:space="preserve"> PAGEREF _Toc233801711 \h </w:instrText>
        </w:r>
        <w:r w:rsidR="00B57F24">
          <w:rPr>
            <w:noProof/>
            <w:webHidden/>
          </w:rPr>
        </w:r>
        <w:r w:rsidR="00B57F24">
          <w:rPr>
            <w:noProof/>
            <w:webHidden/>
          </w:rPr>
          <w:fldChar w:fldCharType="separate"/>
        </w:r>
        <w:r w:rsidR="00272496">
          <w:rPr>
            <w:noProof/>
            <w:webHidden/>
          </w:rPr>
          <w:t>45</w:t>
        </w:r>
        <w:r w:rsidR="00B57F24">
          <w:rPr>
            <w:noProof/>
            <w:webHidden/>
          </w:rPr>
          <w:fldChar w:fldCharType="end"/>
        </w:r>
      </w:hyperlink>
    </w:p>
    <w:p w14:paraId="78E18606" w14:textId="221CF335"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12" w:history="1">
        <w:r w:rsidR="00B57F24" w:rsidRPr="007927EF">
          <w:rPr>
            <w:rStyle w:val="Hyperlink"/>
            <w:noProof/>
          </w:rPr>
          <w:t>10.1</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General Considerations and Analysis Sets</w:t>
        </w:r>
        <w:r w:rsidR="00B57F24">
          <w:rPr>
            <w:noProof/>
            <w:webHidden/>
          </w:rPr>
          <w:tab/>
        </w:r>
        <w:r w:rsidR="00B57F24">
          <w:rPr>
            <w:noProof/>
            <w:webHidden/>
          </w:rPr>
          <w:fldChar w:fldCharType="begin"/>
        </w:r>
        <w:r w:rsidR="00B57F24">
          <w:rPr>
            <w:noProof/>
            <w:webHidden/>
          </w:rPr>
          <w:instrText xml:space="preserve"> PAGEREF _Toc233801712 \h </w:instrText>
        </w:r>
        <w:r w:rsidR="00B57F24">
          <w:rPr>
            <w:noProof/>
            <w:webHidden/>
          </w:rPr>
        </w:r>
        <w:r w:rsidR="00B57F24">
          <w:rPr>
            <w:noProof/>
            <w:webHidden/>
          </w:rPr>
          <w:fldChar w:fldCharType="separate"/>
        </w:r>
        <w:r w:rsidR="00272496">
          <w:rPr>
            <w:noProof/>
            <w:webHidden/>
          </w:rPr>
          <w:t>45</w:t>
        </w:r>
        <w:r w:rsidR="00B57F24">
          <w:rPr>
            <w:noProof/>
            <w:webHidden/>
          </w:rPr>
          <w:fldChar w:fldCharType="end"/>
        </w:r>
      </w:hyperlink>
    </w:p>
    <w:p w14:paraId="7EDF9D98" w14:textId="77B7AFE1"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13" w:history="1">
        <w:r w:rsidR="00B57F24" w:rsidRPr="007927EF">
          <w:rPr>
            <w:rStyle w:val="Hyperlink"/>
            <w:noProof/>
          </w:rPr>
          <w:t>10.2</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Analysis Populations</w:t>
        </w:r>
        <w:r w:rsidR="00B57F24">
          <w:rPr>
            <w:noProof/>
            <w:webHidden/>
          </w:rPr>
          <w:tab/>
        </w:r>
        <w:r w:rsidR="00B57F24">
          <w:rPr>
            <w:noProof/>
            <w:webHidden/>
          </w:rPr>
          <w:fldChar w:fldCharType="begin"/>
        </w:r>
        <w:r w:rsidR="00B57F24">
          <w:rPr>
            <w:noProof/>
            <w:webHidden/>
          </w:rPr>
          <w:instrText xml:space="preserve"> PAGEREF _Toc233801713 \h </w:instrText>
        </w:r>
        <w:r w:rsidR="00B57F24">
          <w:rPr>
            <w:noProof/>
            <w:webHidden/>
          </w:rPr>
        </w:r>
        <w:r w:rsidR="00B57F24">
          <w:rPr>
            <w:noProof/>
            <w:webHidden/>
          </w:rPr>
          <w:fldChar w:fldCharType="separate"/>
        </w:r>
        <w:r w:rsidR="00272496">
          <w:rPr>
            <w:noProof/>
            <w:webHidden/>
          </w:rPr>
          <w:t>45</w:t>
        </w:r>
        <w:r w:rsidR="00B57F24">
          <w:rPr>
            <w:noProof/>
            <w:webHidden/>
          </w:rPr>
          <w:fldChar w:fldCharType="end"/>
        </w:r>
      </w:hyperlink>
    </w:p>
    <w:p w14:paraId="63ADD55D" w14:textId="134F38E0"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14" w:history="1">
        <w:r w:rsidR="00B57F24" w:rsidRPr="007927EF">
          <w:rPr>
            <w:rStyle w:val="Hyperlink"/>
            <w:noProof/>
          </w:rPr>
          <w:t>10.3</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Analyses for Demographics and Other Baseline Variables</w:t>
        </w:r>
        <w:r w:rsidR="00B57F24">
          <w:rPr>
            <w:noProof/>
            <w:webHidden/>
          </w:rPr>
          <w:tab/>
        </w:r>
        <w:r w:rsidR="00B57F24">
          <w:rPr>
            <w:noProof/>
            <w:webHidden/>
          </w:rPr>
          <w:fldChar w:fldCharType="begin"/>
        </w:r>
        <w:r w:rsidR="00B57F24">
          <w:rPr>
            <w:noProof/>
            <w:webHidden/>
          </w:rPr>
          <w:instrText xml:space="preserve"> PAGEREF _Toc233801714 \h </w:instrText>
        </w:r>
        <w:r w:rsidR="00B57F24">
          <w:rPr>
            <w:noProof/>
            <w:webHidden/>
          </w:rPr>
        </w:r>
        <w:r w:rsidR="00B57F24">
          <w:rPr>
            <w:noProof/>
            <w:webHidden/>
          </w:rPr>
          <w:fldChar w:fldCharType="separate"/>
        </w:r>
        <w:r w:rsidR="00272496">
          <w:rPr>
            <w:noProof/>
            <w:webHidden/>
          </w:rPr>
          <w:t>45</w:t>
        </w:r>
        <w:r w:rsidR="00B57F24">
          <w:rPr>
            <w:noProof/>
            <w:webHidden/>
          </w:rPr>
          <w:fldChar w:fldCharType="end"/>
        </w:r>
      </w:hyperlink>
    </w:p>
    <w:p w14:paraId="1EDF4873" w14:textId="46DB8627"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15" w:history="1">
        <w:r w:rsidR="00B57F24" w:rsidRPr="007927EF">
          <w:rPr>
            <w:rStyle w:val="Hyperlink"/>
            <w:noProof/>
          </w:rPr>
          <w:t>10.4</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Analyses for the Primary Objective</w:t>
        </w:r>
        <w:r w:rsidR="00B57F24">
          <w:rPr>
            <w:noProof/>
            <w:webHidden/>
          </w:rPr>
          <w:tab/>
        </w:r>
        <w:r w:rsidR="00B57F24">
          <w:rPr>
            <w:noProof/>
            <w:webHidden/>
          </w:rPr>
          <w:fldChar w:fldCharType="begin"/>
        </w:r>
        <w:r w:rsidR="00B57F24">
          <w:rPr>
            <w:noProof/>
            <w:webHidden/>
          </w:rPr>
          <w:instrText xml:space="preserve"> PAGEREF _Toc233801715 \h </w:instrText>
        </w:r>
        <w:r w:rsidR="00B57F24">
          <w:rPr>
            <w:noProof/>
            <w:webHidden/>
          </w:rPr>
        </w:r>
        <w:r w:rsidR="00B57F24">
          <w:rPr>
            <w:noProof/>
            <w:webHidden/>
          </w:rPr>
          <w:fldChar w:fldCharType="separate"/>
        </w:r>
        <w:r w:rsidR="00272496">
          <w:rPr>
            <w:noProof/>
            <w:webHidden/>
          </w:rPr>
          <w:t>45</w:t>
        </w:r>
        <w:r w:rsidR="00B57F24">
          <w:rPr>
            <w:noProof/>
            <w:webHidden/>
          </w:rPr>
          <w:fldChar w:fldCharType="end"/>
        </w:r>
      </w:hyperlink>
    </w:p>
    <w:p w14:paraId="76EB1A52" w14:textId="6404301D"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16" w:history="1">
        <w:r w:rsidR="00B57F24" w:rsidRPr="007927EF">
          <w:rPr>
            <w:rStyle w:val="Hyperlink"/>
            <w:noProof/>
          </w:rPr>
          <w:t>10.5</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Analyses for Secondary and Exploratory Objectives</w:t>
        </w:r>
        <w:r w:rsidR="00B57F24">
          <w:rPr>
            <w:noProof/>
            <w:webHidden/>
          </w:rPr>
          <w:tab/>
        </w:r>
        <w:r w:rsidR="00B57F24">
          <w:rPr>
            <w:noProof/>
            <w:webHidden/>
          </w:rPr>
          <w:fldChar w:fldCharType="begin"/>
        </w:r>
        <w:r w:rsidR="00B57F24">
          <w:rPr>
            <w:noProof/>
            <w:webHidden/>
          </w:rPr>
          <w:instrText xml:space="preserve"> PAGEREF _Toc233801716 \h </w:instrText>
        </w:r>
        <w:r w:rsidR="00B57F24">
          <w:rPr>
            <w:noProof/>
            <w:webHidden/>
          </w:rPr>
        </w:r>
        <w:r w:rsidR="00B57F24">
          <w:rPr>
            <w:noProof/>
            <w:webHidden/>
          </w:rPr>
          <w:fldChar w:fldCharType="separate"/>
        </w:r>
        <w:r w:rsidR="00272496">
          <w:rPr>
            <w:noProof/>
            <w:webHidden/>
          </w:rPr>
          <w:t>46</w:t>
        </w:r>
        <w:r w:rsidR="00B57F24">
          <w:rPr>
            <w:noProof/>
            <w:webHidden/>
          </w:rPr>
          <w:fldChar w:fldCharType="end"/>
        </w:r>
      </w:hyperlink>
    </w:p>
    <w:p w14:paraId="345DC4FC" w14:textId="70909FBA"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17" w:history="1">
        <w:r w:rsidR="00B57F24" w:rsidRPr="007927EF">
          <w:rPr>
            <w:rStyle w:val="Hyperlink"/>
            <w:noProof/>
          </w:rPr>
          <w:t>10.6</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Safety Analyses</w:t>
        </w:r>
        <w:r w:rsidR="00B57F24">
          <w:rPr>
            <w:noProof/>
            <w:webHidden/>
          </w:rPr>
          <w:tab/>
        </w:r>
        <w:r w:rsidR="00B57F24">
          <w:rPr>
            <w:noProof/>
            <w:webHidden/>
          </w:rPr>
          <w:fldChar w:fldCharType="begin"/>
        </w:r>
        <w:r w:rsidR="00B57F24">
          <w:rPr>
            <w:noProof/>
            <w:webHidden/>
          </w:rPr>
          <w:instrText xml:space="preserve"> PAGEREF _Toc233801717 \h </w:instrText>
        </w:r>
        <w:r w:rsidR="00B57F24">
          <w:rPr>
            <w:noProof/>
            <w:webHidden/>
          </w:rPr>
        </w:r>
        <w:r w:rsidR="00B57F24">
          <w:rPr>
            <w:noProof/>
            <w:webHidden/>
          </w:rPr>
          <w:fldChar w:fldCharType="separate"/>
        </w:r>
        <w:r w:rsidR="00272496">
          <w:rPr>
            <w:noProof/>
            <w:webHidden/>
          </w:rPr>
          <w:t>46</w:t>
        </w:r>
        <w:r w:rsidR="00B57F24">
          <w:rPr>
            <w:noProof/>
            <w:webHidden/>
          </w:rPr>
          <w:fldChar w:fldCharType="end"/>
        </w:r>
      </w:hyperlink>
    </w:p>
    <w:p w14:paraId="0C5AC181" w14:textId="52A2D0F3"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18" w:history="1">
        <w:r w:rsidR="00B57F24" w:rsidRPr="007927EF">
          <w:rPr>
            <w:rStyle w:val="Hyperlink"/>
            <w:noProof/>
          </w:rPr>
          <w:t>10.7</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Interim Analyses and Multiplicity</w:t>
        </w:r>
        <w:r w:rsidR="00B57F24">
          <w:rPr>
            <w:noProof/>
            <w:webHidden/>
          </w:rPr>
          <w:tab/>
        </w:r>
        <w:r w:rsidR="00B57F24">
          <w:rPr>
            <w:noProof/>
            <w:webHidden/>
          </w:rPr>
          <w:fldChar w:fldCharType="begin"/>
        </w:r>
        <w:r w:rsidR="00B57F24">
          <w:rPr>
            <w:noProof/>
            <w:webHidden/>
          </w:rPr>
          <w:instrText xml:space="preserve"> PAGEREF _Toc233801718 \h </w:instrText>
        </w:r>
        <w:r w:rsidR="00B57F24">
          <w:rPr>
            <w:noProof/>
            <w:webHidden/>
          </w:rPr>
        </w:r>
        <w:r w:rsidR="00B57F24">
          <w:rPr>
            <w:noProof/>
            <w:webHidden/>
          </w:rPr>
          <w:fldChar w:fldCharType="separate"/>
        </w:r>
        <w:r w:rsidR="00272496">
          <w:rPr>
            <w:noProof/>
            <w:webHidden/>
          </w:rPr>
          <w:t>47</w:t>
        </w:r>
        <w:r w:rsidR="00B57F24">
          <w:rPr>
            <w:noProof/>
            <w:webHidden/>
          </w:rPr>
          <w:fldChar w:fldCharType="end"/>
        </w:r>
      </w:hyperlink>
    </w:p>
    <w:p w14:paraId="10BE300F" w14:textId="14D2ADC7"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19" w:history="1">
        <w:r w:rsidR="00B57F24" w:rsidRPr="007927EF">
          <w:rPr>
            <w:rStyle w:val="Hyperlink"/>
            <w:noProof/>
          </w:rPr>
          <w:t>10.8</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Sample Size Determination</w:t>
        </w:r>
        <w:r w:rsidR="00B57F24">
          <w:rPr>
            <w:noProof/>
            <w:webHidden/>
          </w:rPr>
          <w:tab/>
        </w:r>
        <w:r w:rsidR="00B57F24">
          <w:rPr>
            <w:noProof/>
            <w:webHidden/>
          </w:rPr>
          <w:fldChar w:fldCharType="begin"/>
        </w:r>
        <w:r w:rsidR="00B57F24">
          <w:rPr>
            <w:noProof/>
            <w:webHidden/>
          </w:rPr>
          <w:instrText xml:space="preserve"> PAGEREF _Toc233801719 \h </w:instrText>
        </w:r>
        <w:r w:rsidR="00B57F24">
          <w:rPr>
            <w:noProof/>
            <w:webHidden/>
          </w:rPr>
        </w:r>
        <w:r w:rsidR="00B57F24">
          <w:rPr>
            <w:noProof/>
            <w:webHidden/>
          </w:rPr>
          <w:fldChar w:fldCharType="separate"/>
        </w:r>
        <w:r w:rsidR="00272496">
          <w:rPr>
            <w:noProof/>
            <w:webHidden/>
          </w:rPr>
          <w:t>47</w:t>
        </w:r>
        <w:r w:rsidR="00B57F24">
          <w:rPr>
            <w:noProof/>
            <w:webHidden/>
          </w:rPr>
          <w:fldChar w:fldCharType="end"/>
        </w:r>
      </w:hyperlink>
    </w:p>
    <w:p w14:paraId="6B4659C8" w14:textId="3E1ECD04" w:rsidR="00B57F24" w:rsidRDefault="00000000">
      <w:pPr>
        <w:pStyle w:val="TOC1"/>
        <w:rPr>
          <w:rFonts w:asciiTheme="minorHAnsi" w:eastAsiaTheme="minorEastAsia" w:hAnsiTheme="minorHAnsi" w:cstheme="minorBidi"/>
          <w:caps w:val="0"/>
          <w:noProof/>
          <w:color w:val="auto"/>
        </w:rPr>
      </w:pPr>
      <w:hyperlink w:anchor="_Toc233801720" w:history="1">
        <w:r w:rsidR="00B57F24" w:rsidRPr="007927EF">
          <w:rPr>
            <w:rStyle w:val="Hyperlink"/>
            <w:noProof/>
          </w:rPr>
          <w:t>11</w:t>
        </w:r>
        <w:r w:rsidR="00B57F24">
          <w:rPr>
            <w:rFonts w:asciiTheme="minorHAnsi" w:eastAsiaTheme="minorEastAsia" w:hAnsiTheme="minorHAnsi" w:cstheme="minorBidi"/>
            <w:caps w:val="0"/>
            <w:noProof/>
            <w:color w:val="auto"/>
          </w:rPr>
          <w:tab/>
        </w:r>
        <w:r w:rsidR="00B57F24" w:rsidRPr="007927EF">
          <w:rPr>
            <w:rStyle w:val="Hyperlink"/>
            <w:noProof/>
          </w:rPr>
          <w:t>Study Oversight and General Considerations</w:t>
        </w:r>
        <w:r w:rsidR="00B57F24">
          <w:rPr>
            <w:noProof/>
            <w:webHidden/>
          </w:rPr>
          <w:tab/>
        </w:r>
        <w:r w:rsidR="00B57F24">
          <w:rPr>
            <w:noProof/>
            <w:webHidden/>
          </w:rPr>
          <w:fldChar w:fldCharType="begin"/>
        </w:r>
        <w:r w:rsidR="00B57F24">
          <w:rPr>
            <w:noProof/>
            <w:webHidden/>
          </w:rPr>
          <w:instrText xml:space="preserve"> PAGEREF _Toc233801720 \h </w:instrText>
        </w:r>
        <w:r w:rsidR="00B57F24">
          <w:rPr>
            <w:noProof/>
            <w:webHidden/>
          </w:rPr>
        </w:r>
        <w:r w:rsidR="00B57F24">
          <w:rPr>
            <w:noProof/>
            <w:webHidden/>
          </w:rPr>
          <w:fldChar w:fldCharType="separate"/>
        </w:r>
        <w:r w:rsidR="00272496">
          <w:rPr>
            <w:noProof/>
            <w:webHidden/>
          </w:rPr>
          <w:t>49</w:t>
        </w:r>
        <w:r w:rsidR="00B57F24">
          <w:rPr>
            <w:noProof/>
            <w:webHidden/>
          </w:rPr>
          <w:fldChar w:fldCharType="end"/>
        </w:r>
      </w:hyperlink>
    </w:p>
    <w:p w14:paraId="04EF3F8D" w14:textId="651EC4B5"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21" w:history="1">
        <w:r w:rsidR="00B57F24" w:rsidRPr="007927EF">
          <w:rPr>
            <w:rStyle w:val="Hyperlink"/>
            <w:noProof/>
          </w:rPr>
          <w:t>11.1</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Regulatory and Ethical Considerations</w:t>
        </w:r>
        <w:r w:rsidR="00B57F24">
          <w:rPr>
            <w:noProof/>
            <w:webHidden/>
          </w:rPr>
          <w:tab/>
        </w:r>
        <w:r w:rsidR="00B57F24">
          <w:rPr>
            <w:noProof/>
            <w:webHidden/>
          </w:rPr>
          <w:fldChar w:fldCharType="begin"/>
        </w:r>
        <w:r w:rsidR="00B57F24">
          <w:rPr>
            <w:noProof/>
            <w:webHidden/>
          </w:rPr>
          <w:instrText xml:space="preserve"> PAGEREF _Toc233801721 \h </w:instrText>
        </w:r>
        <w:r w:rsidR="00B57F24">
          <w:rPr>
            <w:noProof/>
            <w:webHidden/>
          </w:rPr>
        </w:r>
        <w:r w:rsidR="00B57F24">
          <w:rPr>
            <w:noProof/>
            <w:webHidden/>
          </w:rPr>
          <w:fldChar w:fldCharType="separate"/>
        </w:r>
        <w:r w:rsidR="00272496">
          <w:rPr>
            <w:noProof/>
            <w:webHidden/>
          </w:rPr>
          <w:t>49</w:t>
        </w:r>
        <w:r w:rsidR="00B57F24">
          <w:rPr>
            <w:noProof/>
            <w:webHidden/>
          </w:rPr>
          <w:fldChar w:fldCharType="end"/>
        </w:r>
      </w:hyperlink>
    </w:p>
    <w:p w14:paraId="6965BB4B" w14:textId="44437ACC"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22" w:history="1">
        <w:r w:rsidR="00B57F24" w:rsidRPr="007927EF">
          <w:rPr>
            <w:rStyle w:val="Hyperlink"/>
            <w:noProof/>
          </w:rPr>
          <w:t>11.2</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Informed Consent Process</w:t>
        </w:r>
        <w:r w:rsidR="00B57F24">
          <w:rPr>
            <w:noProof/>
            <w:webHidden/>
          </w:rPr>
          <w:tab/>
        </w:r>
        <w:r w:rsidR="00B57F24">
          <w:rPr>
            <w:noProof/>
            <w:webHidden/>
          </w:rPr>
          <w:fldChar w:fldCharType="begin"/>
        </w:r>
        <w:r w:rsidR="00B57F24">
          <w:rPr>
            <w:noProof/>
            <w:webHidden/>
          </w:rPr>
          <w:instrText xml:space="preserve"> PAGEREF _Toc233801722 \h </w:instrText>
        </w:r>
        <w:r w:rsidR="00B57F24">
          <w:rPr>
            <w:noProof/>
            <w:webHidden/>
          </w:rPr>
        </w:r>
        <w:r w:rsidR="00B57F24">
          <w:rPr>
            <w:noProof/>
            <w:webHidden/>
          </w:rPr>
          <w:fldChar w:fldCharType="separate"/>
        </w:r>
        <w:r w:rsidR="00272496">
          <w:rPr>
            <w:noProof/>
            <w:webHidden/>
          </w:rPr>
          <w:t>49</w:t>
        </w:r>
        <w:r w:rsidR="00B57F24">
          <w:rPr>
            <w:noProof/>
            <w:webHidden/>
          </w:rPr>
          <w:fldChar w:fldCharType="end"/>
        </w:r>
      </w:hyperlink>
    </w:p>
    <w:p w14:paraId="7ECF197D" w14:textId="5D3355F2"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23" w:history="1">
        <w:r w:rsidR="00B57F24" w:rsidRPr="007927EF">
          <w:rPr>
            <w:rStyle w:val="Hyperlink"/>
            <w:noProof/>
          </w:rPr>
          <w:t>11.3</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Committees</w:t>
        </w:r>
        <w:r w:rsidR="00B57F24">
          <w:rPr>
            <w:noProof/>
            <w:webHidden/>
          </w:rPr>
          <w:tab/>
        </w:r>
        <w:r w:rsidR="00B57F24">
          <w:rPr>
            <w:noProof/>
            <w:webHidden/>
          </w:rPr>
          <w:fldChar w:fldCharType="begin"/>
        </w:r>
        <w:r w:rsidR="00B57F24">
          <w:rPr>
            <w:noProof/>
            <w:webHidden/>
          </w:rPr>
          <w:instrText xml:space="preserve"> PAGEREF _Toc233801723 \h </w:instrText>
        </w:r>
        <w:r w:rsidR="00B57F24">
          <w:rPr>
            <w:noProof/>
            <w:webHidden/>
          </w:rPr>
        </w:r>
        <w:r w:rsidR="00B57F24">
          <w:rPr>
            <w:noProof/>
            <w:webHidden/>
          </w:rPr>
          <w:fldChar w:fldCharType="separate"/>
        </w:r>
        <w:r w:rsidR="00272496">
          <w:rPr>
            <w:noProof/>
            <w:webHidden/>
          </w:rPr>
          <w:t>49</w:t>
        </w:r>
        <w:r w:rsidR="00B57F24">
          <w:rPr>
            <w:noProof/>
            <w:webHidden/>
          </w:rPr>
          <w:fldChar w:fldCharType="end"/>
        </w:r>
      </w:hyperlink>
    </w:p>
    <w:p w14:paraId="6A11CA2B" w14:textId="476620DE"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24" w:history="1">
        <w:r w:rsidR="00B57F24" w:rsidRPr="007927EF">
          <w:rPr>
            <w:rStyle w:val="Hyperlink"/>
            <w:noProof/>
          </w:rPr>
          <w:t>11.4</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Risk-Based Quality Management and Data Governance</w:t>
        </w:r>
        <w:r w:rsidR="00B57F24">
          <w:rPr>
            <w:noProof/>
            <w:webHidden/>
          </w:rPr>
          <w:tab/>
        </w:r>
        <w:r w:rsidR="00B57F24">
          <w:rPr>
            <w:noProof/>
            <w:webHidden/>
          </w:rPr>
          <w:fldChar w:fldCharType="begin"/>
        </w:r>
        <w:r w:rsidR="00B57F24">
          <w:rPr>
            <w:noProof/>
            <w:webHidden/>
          </w:rPr>
          <w:instrText xml:space="preserve"> PAGEREF _Toc233801724 \h </w:instrText>
        </w:r>
        <w:r w:rsidR="00B57F24">
          <w:rPr>
            <w:noProof/>
            <w:webHidden/>
          </w:rPr>
        </w:r>
        <w:r w:rsidR="00B57F24">
          <w:rPr>
            <w:noProof/>
            <w:webHidden/>
          </w:rPr>
          <w:fldChar w:fldCharType="separate"/>
        </w:r>
        <w:r w:rsidR="00272496">
          <w:rPr>
            <w:noProof/>
            <w:webHidden/>
          </w:rPr>
          <w:t>49</w:t>
        </w:r>
        <w:r w:rsidR="00B57F24">
          <w:rPr>
            <w:noProof/>
            <w:webHidden/>
          </w:rPr>
          <w:fldChar w:fldCharType="end"/>
        </w:r>
      </w:hyperlink>
    </w:p>
    <w:p w14:paraId="4785B3E7" w14:textId="280C941E" w:rsidR="00B57F24" w:rsidRDefault="00000000">
      <w:pPr>
        <w:pStyle w:val="TOC2"/>
        <w:rPr>
          <w:rFonts w:asciiTheme="minorHAnsi" w:eastAsiaTheme="minorEastAsia" w:hAnsiTheme="minorHAnsi" w:cstheme="minorBidi"/>
          <w:noProof/>
          <w:color w:val="auto"/>
          <w:kern w:val="2"/>
          <w:szCs w:val="24"/>
          <w14:ligatures w14:val="standardContextual"/>
        </w:rPr>
      </w:pPr>
      <w:hyperlink w:anchor="_Toc233801725" w:history="1">
        <w:r w:rsidR="00B57F24" w:rsidRPr="007927EF">
          <w:rPr>
            <w:rStyle w:val="Hyperlink"/>
            <w:noProof/>
          </w:rPr>
          <w:t>11.5</w:t>
        </w:r>
        <w:r w:rsidR="00B57F24">
          <w:rPr>
            <w:rFonts w:asciiTheme="minorHAnsi" w:eastAsiaTheme="minorEastAsia" w:hAnsiTheme="minorHAnsi" w:cstheme="minorBidi"/>
            <w:noProof/>
            <w:color w:val="auto"/>
            <w:kern w:val="2"/>
            <w:szCs w:val="24"/>
            <w14:ligatures w14:val="standardContextual"/>
          </w:rPr>
          <w:tab/>
        </w:r>
        <w:r w:rsidR="00B57F24" w:rsidRPr="007927EF">
          <w:rPr>
            <w:rStyle w:val="Hyperlink"/>
            <w:noProof/>
          </w:rPr>
          <w:t>Protocol Deviations and Data Dissemination</w:t>
        </w:r>
        <w:r w:rsidR="00B57F24">
          <w:rPr>
            <w:noProof/>
            <w:webHidden/>
          </w:rPr>
          <w:tab/>
        </w:r>
        <w:r w:rsidR="00B57F24">
          <w:rPr>
            <w:noProof/>
            <w:webHidden/>
          </w:rPr>
          <w:fldChar w:fldCharType="begin"/>
        </w:r>
        <w:r w:rsidR="00B57F24">
          <w:rPr>
            <w:noProof/>
            <w:webHidden/>
          </w:rPr>
          <w:instrText xml:space="preserve"> PAGEREF _Toc233801725 \h </w:instrText>
        </w:r>
        <w:r w:rsidR="00B57F24">
          <w:rPr>
            <w:noProof/>
            <w:webHidden/>
          </w:rPr>
        </w:r>
        <w:r w:rsidR="00B57F24">
          <w:rPr>
            <w:noProof/>
            <w:webHidden/>
          </w:rPr>
          <w:fldChar w:fldCharType="separate"/>
        </w:r>
        <w:r w:rsidR="00272496">
          <w:rPr>
            <w:noProof/>
            <w:webHidden/>
          </w:rPr>
          <w:t>49</w:t>
        </w:r>
        <w:r w:rsidR="00B57F24">
          <w:rPr>
            <w:noProof/>
            <w:webHidden/>
          </w:rPr>
          <w:fldChar w:fldCharType="end"/>
        </w:r>
      </w:hyperlink>
    </w:p>
    <w:p w14:paraId="6F538E6A" w14:textId="29CA1A6C" w:rsidR="00B57F24" w:rsidRDefault="00000000">
      <w:pPr>
        <w:pStyle w:val="TOC1"/>
        <w:rPr>
          <w:rFonts w:asciiTheme="minorHAnsi" w:eastAsiaTheme="minorEastAsia" w:hAnsiTheme="minorHAnsi" w:cstheme="minorBidi"/>
          <w:caps w:val="0"/>
          <w:noProof/>
          <w:color w:val="auto"/>
        </w:rPr>
      </w:pPr>
      <w:hyperlink w:anchor="_Toc233801726" w:history="1">
        <w:r w:rsidR="00B57F24" w:rsidRPr="007927EF">
          <w:rPr>
            <w:rStyle w:val="Hyperlink"/>
            <w:noProof/>
          </w:rPr>
          <w:t>12</w:t>
        </w:r>
        <w:r w:rsidR="00B57F24">
          <w:rPr>
            <w:rFonts w:asciiTheme="minorHAnsi" w:eastAsiaTheme="minorEastAsia" w:hAnsiTheme="minorHAnsi" w:cstheme="minorBidi"/>
            <w:caps w:val="0"/>
            <w:noProof/>
            <w:color w:val="auto"/>
          </w:rPr>
          <w:tab/>
        </w:r>
        <w:r w:rsidR="00B57F24" w:rsidRPr="007927EF">
          <w:rPr>
            <w:rStyle w:val="Hyperlink"/>
            <w:noProof/>
          </w:rPr>
          <w:t>References</w:t>
        </w:r>
        <w:r w:rsidR="00B57F24">
          <w:rPr>
            <w:noProof/>
            <w:webHidden/>
          </w:rPr>
          <w:tab/>
        </w:r>
        <w:r w:rsidR="00B57F24">
          <w:rPr>
            <w:noProof/>
            <w:webHidden/>
          </w:rPr>
          <w:fldChar w:fldCharType="begin"/>
        </w:r>
        <w:r w:rsidR="00B57F24">
          <w:rPr>
            <w:noProof/>
            <w:webHidden/>
          </w:rPr>
          <w:instrText xml:space="preserve"> PAGEREF _Toc233801726 \h </w:instrText>
        </w:r>
        <w:r w:rsidR="00B57F24">
          <w:rPr>
            <w:noProof/>
            <w:webHidden/>
          </w:rPr>
        </w:r>
        <w:r w:rsidR="00B57F24">
          <w:rPr>
            <w:noProof/>
            <w:webHidden/>
          </w:rPr>
          <w:fldChar w:fldCharType="separate"/>
        </w:r>
        <w:r w:rsidR="00272496">
          <w:rPr>
            <w:noProof/>
            <w:webHidden/>
          </w:rPr>
          <w:t>50</w:t>
        </w:r>
        <w:r w:rsidR="00B57F24">
          <w:rPr>
            <w:noProof/>
            <w:webHidden/>
          </w:rPr>
          <w:fldChar w:fldCharType="end"/>
        </w:r>
      </w:hyperlink>
    </w:p>
    <w:p w14:paraId="738B6F1E" w14:textId="2B2F037A" w:rsidR="00B57F24" w:rsidRDefault="00000000">
      <w:pPr>
        <w:pStyle w:val="TOC1"/>
        <w:rPr>
          <w:rFonts w:asciiTheme="minorHAnsi" w:eastAsiaTheme="minorEastAsia" w:hAnsiTheme="minorHAnsi" w:cstheme="minorBidi"/>
          <w:caps w:val="0"/>
          <w:noProof/>
          <w:color w:val="auto"/>
        </w:rPr>
      </w:pPr>
      <w:hyperlink w:anchor="_Toc233801727" w:history="1">
        <w:r w:rsidR="00B57F24" w:rsidRPr="007927EF">
          <w:rPr>
            <w:rStyle w:val="Hyperlink"/>
            <w:noProof/>
          </w:rPr>
          <w:t>13</w:t>
        </w:r>
        <w:r w:rsidR="00B57F24">
          <w:rPr>
            <w:rFonts w:asciiTheme="minorHAnsi" w:eastAsiaTheme="minorEastAsia" w:hAnsiTheme="minorHAnsi" w:cstheme="minorBidi"/>
            <w:caps w:val="0"/>
            <w:noProof/>
            <w:color w:val="auto"/>
          </w:rPr>
          <w:tab/>
        </w:r>
        <w:r w:rsidR="00B57F24" w:rsidRPr="007927EF">
          <w:rPr>
            <w:rStyle w:val="Hyperlink"/>
            <w:noProof/>
          </w:rPr>
          <w:t>Appendices</w:t>
        </w:r>
        <w:r w:rsidR="00B57F24">
          <w:rPr>
            <w:noProof/>
            <w:webHidden/>
          </w:rPr>
          <w:tab/>
        </w:r>
        <w:r w:rsidR="00B57F24">
          <w:rPr>
            <w:noProof/>
            <w:webHidden/>
          </w:rPr>
          <w:fldChar w:fldCharType="begin"/>
        </w:r>
        <w:r w:rsidR="00B57F24">
          <w:rPr>
            <w:noProof/>
            <w:webHidden/>
          </w:rPr>
          <w:instrText xml:space="preserve"> PAGEREF _Toc233801727 \h </w:instrText>
        </w:r>
        <w:r w:rsidR="00B57F24">
          <w:rPr>
            <w:noProof/>
            <w:webHidden/>
          </w:rPr>
        </w:r>
        <w:r w:rsidR="00B57F24">
          <w:rPr>
            <w:noProof/>
            <w:webHidden/>
          </w:rPr>
          <w:fldChar w:fldCharType="separate"/>
        </w:r>
        <w:r w:rsidR="00272496">
          <w:rPr>
            <w:noProof/>
            <w:webHidden/>
          </w:rPr>
          <w:t>51</w:t>
        </w:r>
        <w:r w:rsidR="00B57F24">
          <w:rPr>
            <w:noProof/>
            <w:webHidden/>
          </w:rPr>
          <w:fldChar w:fldCharType="end"/>
        </w:r>
      </w:hyperlink>
    </w:p>
    <w:p w14:paraId="4732C06B" w14:textId="6D5DF946" w:rsidR="00B57F24" w:rsidRDefault="00000000">
      <w:pPr>
        <w:pStyle w:val="TOC1"/>
        <w:tabs>
          <w:tab w:val="left" w:pos="1680"/>
        </w:tabs>
        <w:rPr>
          <w:rFonts w:asciiTheme="minorHAnsi" w:eastAsiaTheme="minorEastAsia" w:hAnsiTheme="minorHAnsi" w:cstheme="minorBidi"/>
          <w:caps w:val="0"/>
          <w:noProof/>
          <w:color w:val="auto"/>
        </w:rPr>
      </w:pPr>
      <w:hyperlink w:anchor="_Toc233801728" w:history="1">
        <w:r w:rsidR="00B57F24" w:rsidRPr="007927EF">
          <w:rPr>
            <w:rStyle w:val="Hyperlink"/>
            <w:noProof/>
          </w:rPr>
          <w:t>Appendix 1:</w:t>
        </w:r>
        <w:r w:rsidR="00B57F24">
          <w:rPr>
            <w:rFonts w:asciiTheme="minorHAnsi" w:eastAsiaTheme="minorEastAsia" w:hAnsiTheme="minorHAnsi" w:cstheme="minorBidi"/>
            <w:caps w:val="0"/>
            <w:noProof/>
            <w:color w:val="auto"/>
          </w:rPr>
          <w:tab/>
        </w:r>
        <w:r w:rsidR="00B57F24" w:rsidRPr="007927EF">
          <w:rPr>
            <w:rStyle w:val="Hyperlink"/>
            <w:noProof/>
          </w:rPr>
          <w:t>Response Evaluation Criteria in Solid Tumors (RECIST) Version 1.1</w:t>
        </w:r>
        <w:r w:rsidR="00B57F24">
          <w:rPr>
            <w:noProof/>
            <w:webHidden/>
          </w:rPr>
          <w:tab/>
        </w:r>
        <w:r w:rsidR="00B57F24">
          <w:rPr>
            <w:noProof/>
            <w:webHidden/>
          </w:rPr>
          <w:fldChar w:fldCharType="begin"/>
        </w:r>
        <w:r w:rsidR="00B57F24">
          <w:rPr>
            <w:noProof/>
            <w:webHidden/>
          </w:rPr>
          <w:instrText xml:space="preserve"> PAGEREF _Toc233801728 \h </w:instrText>
        </w:r>
        <w:r w:rsidR="00B57F24">
          <w:rPr>
            <w:noProof/>
            <w:webHidden/>
          </w:rPr>
        </w:r>
        <w:r w:rsidR="00B57F24">
          <w:rPr>
            <w:noProof/>
            <w:webHidden/>
          </w:rPr>
          <w:fldChar w:fldCharType="separate"/>
        </w:r>
        <w:r w:rsidR="00272496">
          <w:rPr>
            <w:noProof/>
            <w:webHidden/>
          </w:rPr>
          <w:t>51</w:t>
        </w:r>
        <w:r w:rsidR="00B57F24">
          <w:rPr>
            <w:noProof/>
            <w:webHidden/>
          </w:rPr>
          <w:fldChar w:fldCharType="end"/>
        </w:r>
      </w:hyperlink>
    </w:p>
    <w:p w14:paraId="010C9FB8" w14:textId="72412BFB" w:rsidR="00B57F24" w:rsidRDefault="00000000">
      <w:pPr>
        <w:pStyle w:val="TOC1"/>
        <w:tabs>
          <w:tab w:val="left" w:pos="1680"/>
        </w:tabs>
        <w:rPr>
          <w:rFonts w:asciiTheme="minorHAnsi" w:eastAsiaTheme="minorEastAsia" w:hAnsiTheme="minorHAnsi" w:cstheme="minorBidi"/>
          <w:caps w:val="0"/>
          <w:noProof/>
          <w:color w:val="auto"/>
        </w:rPr>
      </w:pPr>
      <w:hyperlink w:anchor="_Toc233801729" w:history="1">
        <w:r w:rsidR="00B57F24" w:rsidRPr="007927EF">
          <w:rPr>
            <w:rStyle w:val="Hyperlink"/>
            <w:noProof/>
          </w:rPr>
          <w:t>Appendix 2:</w:t>
        </w:r>
        <w:r w:rsidR="00B57F24">
          <w:rPr>
            <w:rFonts w:asciiTheme="minorHAnsi" w:eastAsiaTheme="minorEastAsia" w:hAnsiTheme="minorHAnsi" w:cstheme="minorBidi"/>
            <w:caps w:val="0"/>
            <w:noProof/>
            <w:color w:val="auto"/>
          </w:rPr>
          <w:tab/>
        </w:r>
        <w:r w:rsidR="00B57F24" w:rsidRPr="007927EF">
          <w:rPr>
            <w:rStyle w:val="Hyperlink"/>
            <w:noProof/>
          </w:rPr>
          <w:t>Definition of Childbearing Potential and Contraception Requirements</w:t>
        </w:r>
        <w:r w:rsidR="00B57F24">
          <w:rPr>
            <w:noProof/>
            <w:webHidden/>
          </w:rPr>
          <w:tab/>
        </w:r>
        <w:r w:rsidR="00B57F24">
          <w:rPr>
            <w:noProof/>
            <w:webHidden/>
          </w:rPr>
          <w:fldChar w:fldCharType="begin"/>
        </w:r>
        <w:r w:rsidR="00B57F24">
          <w:rPr>
            <w:noProof/>
            <w:webHidden/>
          </w:rPr>
          <w:instrText xml:space="preserve"> PAGEREF _Toc233801729 \h </w:instrText>
        </w:r>
        <w:r w:rsidR="00B57F24">
          <w:rPr>
            <w:noProof/>
            <w:webHidden/>
          </w:rPr>
        </w:r>
        <w:r w:rsidR="00B57F24">
          <w:rPr>
            <w:noProof/>
            <w:webHidden/>
          </w:rPr>
          <w:fldChar w:fldCharType="separate"/>
        </w:r>
        <w:r w:rsidR="00272496">
          <w:rPr>
            <w:noProof/>
            <w:webHidden/>
          </w:rPr>
          <w:t>53</w:t>
        </w:r>
        <w:r w:rsidR="00B57F24">
          <w:rPr>
            <w:noProof/>
            <w:webHidden/>
          </w:rPr>
          <w:fldChar w:fldCharType="end"/>
        </w:r>
      </w:hyperlink>
    </w:p>
    <w:p w14:paraId="5C57F6F6" w14:textId="6418B1C5" w:rsidR="00B57F24" w:rsidRDefault="00000000">
      <w:pPr>
        <w:pStyle w:val="TOC1"/>
        <w:tabs>
          <w:tab w:val="left" w:pos="1680"/>
        </w:tabs>
        <w:rPr>
          <w:rFonts w:asciiTheme="minorHAnsi" w:eastAsiaTheme="minorEastAsia" w:hAnsiTheme="minorHAnsi" w:cstheme="minorBidi"/>
          <w:caps w:val="0"/>
          <w:noProof/>
          <w:color w:val="auto"/>
        </w:rPr>
      </w:pPr>
      <w:hyperlink w:anchor="_Toc233801730" w:history="1">
        <w:r w:rsidR="00B57F24" w:rsidRPr="007927EF">
          <w:rPr>
            <w:rStyle w:val="Hyperlink"/>
            <w:noProof/>
          </w:rPr>
          <w:t>Appendix 3:</w:t>
        </w:r>
        <w:r w:rsidR="00B57F24">
          <w:rPr>
            <w:rFonts w:asciiTheme="minorHAnsi" w:eastAsiaTheme="minorEastAsia" w:hAnsiTheme="minorHAnsi" w:cstheme="minorBidi"/>
            <w:caps w:val="0"/>
            <w:noProof/>
            <w:color w:val="auto"/>
          </w:rPr>
          <w:tab/>
        </w:r>
        <w:r w:rsidR="00B57F24" w:rsidRPr="007927EF">
          <w:rPr>
            <w:rStyle w:val="Hyperlink"/>
            <w:noProof/>
          </w:rPr>
          <w:t>Sample List of Excluded and Cautionary Medications</w:t>
        </w:r>
        <w:r w:rsidR="00B57F24">
          <w:rPr>
            <w:noProof/>
            <w:webHidden/>
          </w:rPr>
          <w:tab/>
        </w:r>
        <w:r w:rsidR="00B57F24">
          <w:rPr>
            <w:noProof/>
            <w:webHidden/>
          </w:rPr>
          <w:fldChar w:fldCharType="begin"/>
        </w:r>
        <w:r w:rsidR="00B57F24">
          <w:rPr>
            <w:noProof/>
            <w:webHidden/>
          </w:rPr>
          <w:instrText xml:space="preserve"> PAGEREF _Toc233801730 \h </w:instrText>
        </w:r>
        <w:r w:rsidR="00B57F24">
          <w:rPr>
            <w:noProof/>
            <w:webHidden/>
          </w:rPr>
        </w:r>
        <w:r w:rsidR="00B57F24">
          <w:rPr>
            <w:noProof/>
            <w:webHidden/>
          </w:rPr>
          <w:fldChar w:fldCharType="separate"/>
        </w:r>
        <w:r w:rsidR="00272496">
          <w:rPr>
            <w:noProof/>
            <w:webHidden/>
          </w:rPr>
          <w:t>54</w:t>
        </w:r>
        <w:r w:rsidR="00B57F24">
          <w:rPr>
            <w:noProof/>
            <w:webHidden/>
          </w:rPr>
          <w:fldChar w:fldCharType="end"/>
        </w:r>
      </w:hyperlink>
    </w:p>
    <w:p w14:paraId="7BC2AEDF" w14:textId="35AA2026" w:rsidR="008F65FC" w:rsidRDefault="004A41A9">
      <w:pPr>
        <w:pStyle w:val="TOC1"/>
        <w:tabs>
          <w:tab w:val="clear" w:pos="9360"/>
          <w:tab w:val="right" w:leader="dot" w:pos="9350"/>
        </w:tabs>
      </w:pPr>
      <w:r>
        <w:fldChar w:fldCharType="end"/>
      </w:r>
    </w:p>
    <w:p w14:paraId="76BBAE06" w14:textId="77777777" w:rsidR="008F65FC" w:rsidRDefault="005F45D2" w:rsidP="00BA20DE">
      <w:pPr>
        <w:pStyle w:val="Heading1un-numbered"/>
        <w:ind w:firstLine="0"/>
      </w:pPr>
      <w:bookmarkStart w:id="4" w:name="_Toc233801657"/>
      <w:r>
        <w:t>LIST OF TABLES</w:t>
      </w:r>
      <w:bookmarkEnd w:id="4"/>
    </w:p>
    <w:p w14:paraId="79F1603B" w14:textId="24C4C24B" w:rsidR="00B57F24" w:rsidRDefault="00B15397">
      <w:pPr>
        <w:pStyle w:val="TableofFigures"/>
        <w:rPr>
          <w:rFonts w:asciiTheme="minorHAnsi" w:eastAsiaTheme="minorEastAsia" w:hAnsiTheme="minorHAnsi" w:cstheme="minorBidi"/>
          <w:color w:val="auto"/>
          <w:kern w:val="2"/>
          <w:szCs w:val="24"/>
          <w14:ligatures w14:val="standardContextual"/>
        </w:rPr>
      </w:pPr>
      <w:r>
        <w:fldChar w:fldCharType="begin"/>
      </w:r>
      <w:r>
        <w:instrText xml:space="preserve"> TOC \h \z \c "Table" </w:instrText>
      </w:r>
      <w:r>
        <w:fldChar w:fldCharType="separate"/>
      </w:r>
      <w:hyperlink w:anchor="_Toc233801732" w:history="1">
        <w:r w:rsidR="00B57F24" w:rsidRPr="000A7741">
          <w:rPr>
            <w:rStyle w:val="Hyperlink"/>
          </w:rPr>
          <w:t>Table 1:</w:t>
        </w:r>
        <w:r w:rsidR="00B57F24">
          <w:rPr>
            <w:rFonts w:asciiTheme="minorHAnsi" w:eastAsiaTheme="minorEastAsia" w:hAnsiTheme="minorHAnsi" w:cstheme="minorBidi"/>
            <w:color w:val="auto"/>
            <w:kern w:val="2"/>
            <w:szCs w:val="24"/>
            <w14:ligatures w14:val="standardContextual"/>
          </w:rPr>
          <w:tab/>
        </w:r>
        <w:r w:rsidR="00B57F24" w:rsidRPr="000A7741">
          <w:rPr>
            <w:rStyle w:val="Hyperlink"/>
          </w:rPr>
          <w:t>Schedule of Activities</w:t>
        </w:r>
        <w:r w:rsidR="00B57F24">
          <w:rPr>
            <w:webHidden/>
          </w:rPr>
          <w:tab/>
        </w:r>
        <w:r w:rsidR="00B57F24">
          <w:rPr>
            <w:webHidden/>
          </w:rPr>
          <w:fldChar w:fldCharType="begin"/>
        </w:r>
        <w:r w:rsidR="00B57F24">
          <w:rPr>
            <w:webHidden/>
          </w:rPr>
          <w:instrText xml:space="preserve"> PAGEREF _Toc233801732 \h </w:instrText>
        </w:r>
        <w:r w:rsidR="00B57F24">
          <w:rPr>
            <w:webHidden/>
          </w:rPr>
        </w:r>
        <w:r w:rsidR="00B57F24">
          <w:rPr>
            <w:webHidden/>
          </w:rPr>
          <w:fldChar w:fldCharType="separate"/>
        </w:r>
        <w:r w:rsidR="00272496">
          <w:rPr>
            <w:webHidden/>
          </w:rPr>
          <w:t>22</w:t>
        </w:r>
        <w:r w:rsidR="00B57F24">
          <w:rPr>
            <w:webHidden/>
          </w:rPr>
          <w:fldChar w:fldCharType="end"/>
        </w:r>
      </w:hyperlink>
    </w:p>
    <w:p w14:paraId="3C059E76" w14:textId="6050AB74" w:rsidR="00B57F24" w:rsidRDefault="00000000">
      <w:pPr>
        <w:pStyle w:val="TableofFigures"/>
        <w:rPr>
          <w:rFonts w:asciiTheme="minorHAnsi" w:eastAsiaTheme="minorEastAsia" w:hAnsiTheme="minorHAnsi" w:cstheme="minorBidi"/>
          <w:color w:val="auto"/>
          <w:kern w:val="2"/>
          <w:szCs w:val="24"/>
          <w14:ligatures w14:val="standardContextual"/>
        </w:rPr>
      </w:pPr>
      <w:hyperlink w:anchor="_Toc233801733" w:history="1">
        <w:r w:rsidR="00B57F24" w:rsidRPr="000A7741">
          <w:rPr>
            <w:rStyle w:val="Hyperlink"/>
          </w:rPr>
          <w:t>Table 2:</w:t>
        </w:r>
        <w:r w:rsidR="00B57F24">
          <w:rPr>
            <w:rFonts w:asciiTheme="minorHAnsi" w:eastAsiaTheme="minorEastAsia" w:hAnsiTheme="minorHAnsi" w:cstheme="minorBidi"/>
            <w:color w:val="auto"/>
            <w:kern w:val="2"/>
            <w:szCs w:val="24"/>
            <w14:ligatures w14:val="standardContextual"/>
          </w:rPr>
          <w:tab/>
        </w:r>
        <w:r w:rsidR="00B57F24" w:rsidRPr="000A7741">
          <w:rPr>
            <w:rStyle w:val="Hyperlink"/>
          </w:rPr>
          <w:t>Primary and Secondary Objectives and Endpoints</w:t>
        </w:r>
        <w:r w:rsidR="00B57F24">
          <w:rPr>
            <w:webHidden/>
          </w:rPr>
          <w:tab/>
        </w:r>
        <w:r w:rsidR="00B57F24">
          <w:rPr>
            <w:webHidden/>
          </w:rPr>
          <w:fldChar w:fldCharType="begin"/>
        </w:r>
        <w:r w:rsidR="00B57F24">
          <w:rPr>
            <w:webHidden/>
          </w:rPr>
          <w:instrText xml:space="preserve"> PAGEREF _Toc233801733 \h </w:instrText>
        </w:r>
        <w:r w:rsidR="00B57F24">
          <w:rPr>
            <w:webHidden/>
          </w:rPr>
        </w:r>
        <w:r w:rsidR="00B57F24">
          <w:rPr>
            <w:webHidden/>
          </w:rPr>
          <w:fldChar w:fldCharType="separate"/>
        </w:r>
        <w:r w:rsidR="00272496">
          <w:rPr>
            <w:webHidden/>
          </w:rPr>
          <w:t>27</w:t>
        </w:r>
        <w:r w:rsidR="00B57F24">
          <w:rPr>
            <w:webHidden/>
          </w:rPr>
          <w:fldChar w:fldCharType="end"/>
        </w:r>
      </w:hyperlink>
    </w:p>
    <w:p w14:paraId="3E9CE56A" w14:textId="39284B72" w:rsidR="00B57F24" w:rsidRDefault="00000000">
      <w:pPr>
        <w:pStyle w:val="TableofFigures"/>
        <w:rPr>
          <w:rFonts w:asciiTheme="minorHAnsi" w:eastAsiaTheme="minorEastAsia" w:hAnsiTheme="minorHAnsi" w:cstheme="minorBidi"/>
          <w:color w:val="auto"/>
          <w:kern w:val="2"/>
          <w:szCs w:val="24"/>
          <w14:ligatures w14:val="standardContextual"/>
        </w:rPr>
      </w:pPr>
      <w:hyperlink w:anchor="_Toc233801734" w:history="1">
        <w:r w:rsidR="00B57F24" w:rsidRPr="000A7741">
          <w:rPr>
            <w:rStyle w:val="Hyperlink"/>
          </w:rPr>
          <w:t>Table 3:</w:t>
        </w:r>
        <w:r w:rsidR="00B57F24">
          <w:rPr>
            <w:rFonts w:asciiTheme="minorHAnsi" w:eastAsiaTheme="minorEastAsia" w:hAnsiTheme="minorHAnsi" w:cstheme="minorBidi"/>
            <w:color w:val="auto"/>
            <w:kern w:val="2"/>
            <w:szCs w:val="24"/>
            <w14:ligatures w14:val="standardContextual"/>
          </w:rPr>
          <w:tab/>
        </w:r>
        <w:r w:rsidR="00B57F24" w:rsidRPr="000A7741">
          <w:rPr>
            <w:rStyle w:val="Hyperlink"/>
          </w:rPr>
          <w:t>Exploratory Objectives and Endpoints</w:t>
        </w:r>
        <w:r w:rsidR="00B57F24">
          <w:rPr>
            <w:webHidden/>
          </w:rPr>
          <w:tab/>
        </w:r>
        <w:r w:rsidR="00B57F24">
          <w:rPr>
            <w:webHidden/>
          </w:rPr>
          <w:fldChar w:fldCharType="begin"/>
        </w:r>
        <w:r w:rsidR="00B57F24">
          <w:rPr>
            <w:webHidden/>
          </w:rPr>
          <w:instrText xml:space="preserve"> PAGEREF _Toc233801734 \h </w:instrText>
        </w:r>
        <w:r w:rsidR="00B57F24">
          <w:rPr>
            <w:webHidden/>
          </w:rPr>
        </w:r>
        <w:r w:rsidR="00B57F24">
          <w:rPr>
            <w:webHidden/>
          </w:rPr>
          <w:fldChar w:fldCharType="separate"/>
        </w:r>
        <w:r w:rsidR="00272496">
          <w:rPr>
            <w:webHidden/>
          </w:rPr>
          <w:t>28</w:t>
        </w:r>
        <w:r w:rsidR="00B57F24">
          <w:rPr>
            <w:webHidden/>
          </w:rPr>
          <w:fldChar w:fldCharType="end"/>
        </w:r>
      </w:hyperlink>
    </w:p>
    <w:p w14:paraId="2419F777" w14:textId="79477E3E" w:rsidR="00B57F24" w:rsidRDefault="00000000">
      <w:pPr>
        <w:pStyle w:val="TableofFigures"/>
        <w:rPr>
          <w:rFonts w:asciiTheme="minorHAnsi" w:eastAsiaTheme="minorEastAsia" w:hAnsiTheme="minorHAnsi" w:cstheme="minorBidi"/>
          <w:color w:val="auto"/>
          <w:kern w:val="2"/>
          <w:szCs w:val="24"/>
          <w14:ligatures w14:val="standardContextual"/>
        </w:rPr>
      </w:pPr>
      <w:hyperlink w:anchor="_Toc233801735" w:history="1">
        <w:r w:rsidR="00B57F24" w:rsidRPr="000A7741">
          <w:rPr>
            <w:rStyle w:val="Hyperlink"/>
          </w:rPr>
          <w:t>Table 4:</w:t>
        </w:r>
        <w:r w:rsidR="00B57F24">
          <w:rPr>
            <w:rFonts w:asciiTheme="minorHAnsi" w:eastAsiaTheme="minorEastAsia" w:hAnsiTheme="minorHAnsi" w:cstheme="minorBidi"/>
            <w:color w:val="auto"/>
            <w:kern w:val="2"/>
            <w:szCs w:val="24"/>
            <w14:ligatures w14:val="standardContextual"/>
          </w:rPr>
          <w:tab/>
        </w:r>
        <w:r w:rsidR="00B57F24" w:rsidRPr="000A7741">
          <w:rPr>
            <w:rStyle w:val="Hyperlink"/>
          </w:rPr>
          <w:t>Estimands for Primary and Key Secondary Endpoints</w:t>
        </w:r>
        <w:r w:rsidR="00B57F24">
          <w:rPr>
            <w:webHidden/>
          </w:rPr>
          <w:tab/>
        </w:r>
        <w:r w:rsidR="00B57F24">
          <w:rPr>
            <w:webHidden/>
          </w:rPr>
          <w:fldChar w:fldCharType="begin"/>
        </w:r>
        <w:r w:rsidR="00B57F24">
          <w:rPr>
            <w:webHidden/>
          </w:rPr>
          <w:instrText xml:space="preserve"> PAGEREF _Toc233801735 \h </w:instrText>
        </w:r>
        <w:r w:rsidR="00B57F24">
          <w:rPr>
            <w:webHidden/>
          </w:rPr>
        </w:r>
        <w:r w:rsidR="00B57F24">
          <w:rPr>
            <w:webHidden/>
          </w:rPr>
          <w:fldChar w:fldCharType="separate"/>
        </w:r>
        <w:r w:rsidR="00272496">
          <w:rPr>
            <w:webHidden/>
          </w:rPr>
          <w:t>29</w:t>
        </w:r>
        <w:r w:rsidR="00B57F24">
          <w:rPr>
            <w:webHidden/>
          </w:rPr>
          <w:fldChar w:fldCharType="end"/>
        </w:r>
      </w:hyperlink>
    </w:p>
    <w:p w14:paraId="13374F8C" w14:textId="42CA73BC" w:rsidR="00B57F24" w:rsidRDefault="00000000">
      <w:pPr>
        <w:pStyle w:val="TableofFigures"/>
        <w:rPr>
          <w:rFonts w:asciiTheme="minorHAnsi" w:eastAsiaTheme="minorEastAsia" w:hAnsiTheme="minorHAnsi" w:cstheme="minorBidi"/>
          <w:color w:val="auto"/>
          <w:kern w:val="2"/>
          <w:szCs w:val="24"/>
          <w14:ligatures w14:val="standardContextual"/>
        </w:rPr>
      </w:pPr>
      <w:hyperlink w:anchor="_Toc233801736" w:history="1">
        <w:r w:rsidR="00B57F24" w:rsidRPr="000A7741">
          <w:rPr>
            <w:rStyle w:val="Hyperlink"/>
          </w:rPr>
          <w:t>Table 5:</w:t>
        </w:r>
        <w:r w:rsidR="00B57F24">
          <w:rPr>
            <w:rFonts w:asciiTheme="minorHAnsi" w:eastAsiaTheme="minorEastAsia" w:hAnsiTheme="minorHAnsi" w:cstheme="minorBidi"/>
            <w:color w:val="auto"/>
            <w:kern w:val="2"/>
            <w:szCs w:val="24"/>
            <w14:ligatures w14:val="standardContextual"/>
          </w:rPr>
          <w:tab/>
        </w:r>
        <w:r w:rsidR="00B57F24" w:rsidRPr="000A7741">
          <w:rPr>
            <w:rStyle w:val="Hyperlink"/>
          </w:rPr>
          <w:t>Study Treatments</w:t>
        </w:r>
        <w:r w:rsidR="00B57F24">
          <w:rPr>
            <w:webHidden/>
          </w:rPr>
          <w:tab/>
        </w:r>
        <w:r w:rsidR="00B57F24">
          <w:rPr>
            <w:webHidden/>
          </w:rPr>
          <w:fldChar w:fldCharType="begin"/>
        </w:r>
        <w:r w:rsidR="00B57F24">
          <w:rPr>
            <w:webHidden/>
          </w:rPr>
          <w:instrText xml:space="preserve"> PAGEREF _Toc233801736 \h </w:instrText>
        </w:r>
        <w:r w:rsidR="00B57F24">
          <w:rPr>
            <w:webHidden/>
          </w:rPr>
        </w:r>
        <w:r w:rsidR="00B57F24">
          <w:rPr>
            <w:webHidden/>
          </w:rPr>
          <w:fldChar w:fldCharType="separate"/>
        </w:r>
        <w:r w:rsidR="00272496">
          <w:rPr>
            <w:webHidden/>
          </w:rPr>
          <w:t>35</w:t>
        </w:r>
        <w:r w:rsidR="00B57F24">
          <w:rPr>
            <w:webHidden/>
          </w:rPr>
          <w:fldChar w:fldCharType="end"/>
        </w:r>
      </w:hyperlink>
    </w:p>
    <w:p w14:paraId="523960A4" w14:textId="4BF373FE" w:rsidR="008F65FC" w:rsidRDefault="00B15397">
      <w:pPr>
        <w:pStyle w:val="TOC1"/>
        <w:tabs>
          <w:tab w:val="clear" w:pos="9360"/>
          <w:tab w:val="right" w:leader="dot" w:pos="9350"/>
        </w:tabs>
      </w:pPr>
      <w:r>
        <w:rPr>
          <w:noProof/>
        </w:rPr>
        <w:fldChar w:fldCharType="end"/>
      </w:r>
    </w:p>
    <w:p w14:paraId="7E3D4971" w14:textId="77777777" w:rsidR="008F65FC" w:rsidRDefault="005F45D2">
      <w:pPr>
        <w:pStyle w:val="Heading1un-numbered"/>
        <w:ind w:firstLine="0"/>
      </w:pPr>
      <w:bookmarkStart w:id="5" w:name="_Toc233801658"/>
      <w:r>
        <w:t>LIST OF FIGURES</w:t>
      </w:r>
      <w:bookmarkEnd w:id="5"/>
    </w:p>
    <w:p w14:paraId="4DE50FD9" w14:textId="46BB123D" w:rsidR="00B57F24" w:rsidRDefault="00B15397">
      <w:pPr>
        <w:pStyle w:val="TableofFigures"/>
        <w:rPr>
          <w:rFonts w:asciiTheme="minorHAnsi" w:eastAsiaTheme="minorEastAsia" w:hAnsiTheme="minorHAnsi" w:cstheme="minorBidi"/>
          <w:color w:val="auto"/>
          <w:kern w:val="2"/>
          <w:szCs w:val="24"/>
          <w14:ligatures w14:val="standardContextual"/>
        </w:rPr>
      </w:pPr>
      <w:r>
        <w:fldChar w:fldCharType="begin"/>
      </w:r>
      <w:r>
        <w:instrText xml:space="preserve"> TOC \h \z \c "Figure" </w:instrText>
      </w:r>
      <w:r>
        <w:fldChar w:fldCharType="separate"/>
      </w:r>
      <w:hyperlink w:anchor="_Toc233801731" w:history="1">
        <w:r w:rsidR="00B57F24" w:rsidRPr="0043055B">
          <w:rPr>
            <w:rStyle w:val="Hyperlink"/>
          </w:rPr>
          <w:t>Figure 1:</w:t>
        </w:r>
        <w:r w:rsidR="00B57F24">
          <w:rPr>
            <w:rFonts w:asciiTheme="minorHAnsi" w:eastAsiaTheme="minorEastAsia" w:hAnsiTheme="minorHAnsi" w:cstheme="minorBidi"/>
            <w:color w:val="auto"/>
            <w:kern w:val="2"/>
            <w:szCs w:val="24"/>
            <w14:ligatures w14:val="standardContextual"/>
          </w:rPr>
          <w:tab/>
        </w:r>
        <w:r w:rsidR="00B57F24" w:rsidRPr="0043055B">
          <w:rPr>
            <w:rStyle w:val="Hyperlink"/>
          </w:rPr>
          <w:t>DRUG‑123 Mechanism of Action</w:t>
        </w:r>
        <w:r w:rsidR="00B57F24">
          <w:rPr>
            <w:webHidden/>
          </w:rPr>
          <w:tab/>
        </w:r>
        <w:r w:rsidR="00B57F24">
          <w:rPr>
            <w:webHidden/>
          </w:rPr>
          <w:fldChar w:fldCharType="begin"/>
        </w:r>
        <w:r w:rsidR="00B57F24">
          <w:rPr>
            <w:webHidden/>
          </w:rPr>
          <w:instrText xml:space="preserve"> PAGEREF _Toc233801731 \h </w:instrText>
        </w:r>
        <w:r w:rsidR="00B57F24">
          <w:rPr>
            <w:webHidden/>
          </w:rPr>
        </w:r>
        <w:r w:rsidR="00B57F24">
          <w:rPr>
            <w:webHidden/>
          </w:rPr>
          <w:fldChar w:fldCharType="separate"/>
        </w:r>
        <w:r w:rsidR="00272496">
          <w:rPr>
            <w:webHidden/>
          </w:rPr>
          <w:t>24</w:t>
        </w:r>
        <w:r w:rsidR="00B57F24">
          <w:rPr>
            <w:webHidden/>
          </w:rPr>
          <w:fldChar w:fldCharType="end"/>
        </w:r>
      </w:hyperlink>
    </w:p>
    <w:p w14:paraId="54606363" w14:textId="679DC7A1" w:rsidR="008F65FC" w:rsidRDefault="00B15397">
      <w:pPr>
        <w:pStyle w:val="TOC1"/>
        <w:tabs>
          <w:tab w:val="clear" w:pos="9360"/>
          <w:tab w:val="right" w:leader="dot" w:pos="9350"/>
        </w:tabs>
      </w:pPr>
      <w:r>
        <w:rPr>
          <w:noProof/>
        </w:rPr>
        <w:fldChar w:fldCharType="end"/>
      </w:r>
    </w:p>
    <w:p w14:paraId="10D1AB3A" w14:textId="77777777" w:rsidR="008F65FC" w:rsidRDefault="005F45D2" w:rsidP="00BA20DE">
      <w:pPr>
        <w:pStyle w:val="Heading1un-numbered"/>
        <w:pageBreakBefore/>
      </w:pPr>
      <w:bookmarkStart w:id="6" w:name="_Toc233801659"/>
      <w:r>
        <w:lastRenderedPageBreak/>
        <w:t>LIST OF ABBREVIATIONS</w:t>
      </w:r>
      <w:bookmarkEnd w:id="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7336"/>
      </w:tblGrid>
      <w:tr w:rsidR="008F65FC" w14:paraId="5AF6E996" w14:textId="77777777" w:rsidTr="00B57F24">
        <w:trPr>
          <w:tblHeader/>
        </w:trPr>
        <w:tc>
          <w:tcPr>
            <w:tcW w:w="1077" w:type="pct"/>
          </w:tcPr>
          <w:p w14:paraId="56A296E0" w14:textId="77777777" w:rsidR="008F65FC" w:rsidRDefault="00000000">
            <w:pPr>
              <w:pStyle w:val="V-tableheader"/>
              <w:jc w:val="left"/>
            </w:pPr>
            <w:r>
              <w:t>Abbreviation</w:t>
            </w:r>
          </w:p>
        </w:tc>
        <w:tc>
          <w:tcPr>
            <w:tcW w:w="3923" w:type="pct"/>
          </w:tcPr>
          <w:p w14:paraId="3683022B" w14:textId="77777777" w:rsidR="008F65FC" w:rsidRDefault="00000000">
            <w:pPr>
              <w:pStyle w:val="V-tableheader"/>
              <w:jc w:val="left"/>
            </w:pPr>
            <w:r>
              <w:t>Definition</w:t>
            </w:r>
          </w:p>
        </w:tc>
      </w:tr>
      <w:tr w:rsidR="008F65FC" w14:paraId="56A1FB7A" w14:textId="77777777" w:rsidTr="00B57F24">
        <w:tc>
          <w:tcPr>
            <w:tcW w:w="1077" w:type="pct"/>
          </w:tcPr>
          <w:p w14:paraId="4D6C01A6" w14:textId="77777777" w:rsidR="008F65FC" w:rsidRDefault="00000000" w:rsidP="00C02238">
            <w:pPr>
              <w:pStyle w:val="V-tablecellleft"/>
            </w:pPr>
            <w:r>
              <w:t>ADA</w:t>
            </w:r>
          </w:p>
        </w:tc>
        <w:tc>
          <w:tcPr>
            <w:tcW w:w="3923" w:type="pct"/>
          </w:tcPr>
          <w:p w14:paraId="43881532" w14:textId="77777777" w:rsidR="008F65FC" w:rsidRDefault="00000000" w:rsidP="00C02238">
            <w:pPr>
              <w:pStyle w:val="V-tablecellleft"/>
            </w:pPr>
            <w:r>
              <w:t>anti-drug antibody</w:t>
            </w:r>
          </w:p>
        </w:tc>
      </w:tr>
      <w:tr w:rsidR="008F65FC" w14:paraId="46893750" w14:textId="77777777" w:rsidTr="00B57F24">
        <w:tc>
          <w:tcPr>
            <w:tcW w:w="1077" w:type="pct"/>
          </w:tcPr>
          <w:p w14:paraId="1F3948C5" w14:textId="77777777" w:rsidR="008F65FC" w:rsidRDefault="00000000" w:rsidP="00C02238">
            <w:pPr>
              <w:pStyle w:val="V-tablecellleft"/>
            </w:pPr>
            <w:r>
              <w:t>AE</w:t>
            </w:r>
          </w:p>
        </w:tc>
        <w:tc>
          <w:tcPr>
            <w:tcW w:w="3923" w:type="pct"/>
          </w:tcPr>
          <w:p w14:paraId="73A9720C" w14:textId="77777777" w:rsidR="008F65FC" w:rsidRDefault="00000000" w:rsidP="00C02238">
            <w:pPr>
              <w:pStyle w:val="V-tablecellleft"/>
            </w:pPr>
            <w:r>
              <w:t>adverse event</w:t>
            </w:r>
          </w:p>
        </w:tc>
      </w:tr>
      <w:tr w:rsidR="008F65FC" w14:paraId="316D5855" w14:textId="77777777" w:rsidTr="00B57F24">
        <w:tc>
          <w:tcPr>
            <w:tcW w:w="1077" w:type="pct"/>
          </w:tcPr>
          <w:p w14:paraId="191BC2C5" w14:textId="77777777" w:rsidR="008F65FC" w:rsidRDefault="00000000" w:rsidP="00C02238">
            <w:pPr>
              <w:pStyle w:val="V-tablecellleft"/>
            </w:pPr>
            <w:r>
              <w:t>AESI</w:t>
            </w:r>
          </w:p>
        </w:tc>
        <w:tc>
          <w:tcPr>
            <w:tcW w:w="3923" w:type="pct"/>
          </w:tcPr>
          <w:p w14:paraId="590BB6B6" w14:textId="77777777" w:rsidR="008F65FC" w:rsidRDefault="00000000" w:rsidP="00C02238">
            <w:pPr>
              <w:pStyle w:val="V-tablecellleft"/>
            </w:pPr>
            <w:r>
              <w:t>adverse event of special interest</w:t>
            </w:r>
          </w:p>
        </w:tc>
      </w:tr>
      <w:tr w:rsidR="008F65FC" w14:paraId="3B9420C2" w14:textId="77777777" w:rsidTr="00B57F24">
        <w:tc>
          <w:tcPr>
            <w:tcW w:w="1077" w:type="pct"/>
          </w:tcPr>
          <w:p w14:paraId="4AE28427" w14:textId="77777777" w:rsidR="008F65FC" w:rsidRDefault="00000000" w:rsidP="00C02238">
            <w:pPr>
              <w:pStyle w:val="V-tablecellleft"/>
            </w:pPr>
            <w:r>
              <w:t>AUC</w:t>
            </w:r>
          </w:p>
        </w:tc>
        <w:tc>
          <w:tcPr>
            <w:tcW w:w="3923" w:type="pct"/>
          </w:tcPr>
          <w:p w14:paraId="6EF4ACBF" w14:textId="77777777" w:rsidR="008F65FC" w:rsidRDefault="00000000" w:rsidP="00C02238">
            <w:pPr>
              <w:pStyle w:val="V-tablecellleft"/>
            </w:pPr>
            <w:r>
              <w:t>area under the concentration-time curve</w:t>
            </w:r>
          </w:p>
        </w:tc>
      </w:tr>
      <w:tr w:rsidR="008F65FC" w14:paraId="56595944" w14:textId="77777777" w:rsidTr="00B57F24">
        <w:tc>
          <w:tcPr>
            <w:tcW w:w="1077" w:type="pct"/>
          </w:tcPr>
          <w:p w14:paraId="7AE62620" w14:textId="77777777" w:rsidR="008F65FC" w:rsidRDefault="00000000" w:rsidP="00C02238">
            <w:pPr>
              <w:pStyle w:val="V-tablecellleft"/>
            </w:pPr>
            <w:r>
              <w:t>AxMP</w:t>
            </w:r>
          </w:p>
        </w:tc>
        <w:tc>
          <w:tcPr>
            <w:tcW w:w="3923" w:type="pct"/>
          </w:tcPr>
          <w:p w14:paraId="6A5191F5" w14:textId="77777777" w:rsidR="008F65FC" w:rsidRDefault="00000000" w:rsidP="00C02238">
            <w:pPr>
              <w:pStyle w:val="V-tablecellleft"/>
            </w:pPr>
            <w:r>
              <w:t>auxiliary medicinal product</w:t>
            </w:r>
          </w:p>
        </w:tc>
      </w:tr>
      <w:tr w:rsidR="008F65FC" w14:paraId="6AA65B8A" w14:textId="77777777" w:rsidTr="00B57F24">
        <w:tc>
          <w:tcPr>
            <w:tcW w:w="1077" w:type="pct"/>
          </w:tcPr>
          <w:p w14:paraId="3CB9989B" w14:textId="77777777" w:rsidR="008F65FC" w:rsidRDefault="00000000" w:rsidP="00C02238">
            <w:pPr>
              <w:pStyle w:val="V-tablecellleft"/>
            </w:pPr>
            <w:r>
              <w:t>BICR</w:t>
            </w:r>
          </w:p>
        </w:tc>
        <w:tc>
          <w:tcPr>
            <w:tcW w:w="3923" w:type="pct"/>
          </w:tcPr>
          <w:p w14:paraId="37203BE4" w14:textId="77777777" w:rsidR="008F65FC" w:rsidRDefault="00000000" w:rsidP="00C02238">
            <w:pPr>
              <w:pStyle w:val="V-tablecellleft"/>
            </w:pPr>
            <w:r>
              <w:t>blinded independent central review</w:t>
            </w:r>
          </w:p>
        </w:tc>
      </w:tr>
      <w:tr w:rsidR="008F65FC" w14:paraId="29BF34A7" w14:textId="77777777" w:rsidTr="00B57F24">
        <w:tc>
          <w:tcPr>
            <w:tcW w:w="1077" w:type="pct"/>
          </w:tcPr>
          <w:p w14:paraId="0B12A270" w14:textId="77777777" w:rsidR="008F65FC" w:rsidRDefault="00000000" w:rsidP="00C02238">
            <w:pPr>
              <w:pStyle w:val="V-tablecellleft"/>
            </w:pPr>
            <w:r>
              <w:t>CL</w:t>
            </w:r>
          </w:p>
        </w:tc>
        <w:tc>
          <w:tcPr>
            <w:tcW w:w="3923" w:type="pct"/>
          </w:tcPr>
          <w:p w14:paraId="64EE6C57" w14:textId="77777777" w:rsidR="008F65FC" w:rsidRDefault="00000000" w:rsidP="00C02238">
            <w:pPr>
              <w:pStyle w:val="V-tablecellleft"/>
            </w:pPr>
            <w:r>
              <w:t>clearance</w:t>
            </w:r>
          </w:p>
        </w:tc>
      </w:tr>
      <w:tr w:rsidR="008F65FC" w14:paraId="5FCC9235" w14:textId="77777777" w:rsidTr="00B57F24">
        <w:tc>
          <w:tcPr>
            <w:tcW w:w="1077" w:type="pct"/>
          </w:tcPr>
          <w:p w14:paraId="2753A57D" w14:textId="77777777" w:rsidR="008F65FC" w:rsidRDefault="00000000" w:rsidP="00C02238">
            <w:pPr>
              <w:pStyle w:val="V-tablecellleft"/>
            </w:pPr>
            <w:r>
              <w:t>C</w:t>
            </w:r>
            <w:r>
              <w:rPr>
                <w:vertAlign w:val="subscript"/>
              </w:rPr>
              <w:t>max</w:t>
            </w:r>
          </w:p>
        </w:tc>
        <w:tc>
          <w:tcPr>
            <w:tcW w:w="3923" w:type="pct"/>
          </w:tcPr>
          <w:p w14:paraId="4F007670" w14:textId="77777777" w:rsidR="008F65FC" w:rsidRDefault="00000000" w:rsidP="00C02238">
            <w:pPr>
              <w:pStyle w:val="V-tablecellleft"/>
            </w:pPr>
            <w:r>
              <w:t>maximum observed concentration</w:t>
            </w:r>
          </w:p>
        </w:tc>
      </w:tr>
      <w:tr w:rsidR="008F65FC" w14:paraId="47342617" w14:textId="77777777" w:rsidTr="00B57F24">
        <w:tc>
          <w:tcPr>
            <w:tcW w:w="1077" w:type="pct"/>
          </w:tcPr>
          <w:p w14:paraId="4611EE32" w14:textId="77777777" w:rsidR="008F65FC" w:rsidRDefault="00000000" w:rsidP="00C02238">
            <w:pPr>
              <w:pStyle w:val="V-tablecellleft"/>
            </w:pPr>
            <w:r>
              <w:t>CTCAE</w:t>
            </w:r>
          </w:p>
        </w:tc>
        <w:tc>
          <w:tcPr>
            <w:tcW w:w="3923" w:type="pct"/>
          </w:tcPr>
          <w:p w14:paraId="38EBC011" w14:textId="77777777" w:rsidR="008F65FC" w:rsidRDefault="00000000" w:rsidP="00C02238">
            <w:pPr>
              <w:pStyle w:val="V-tablecellleft"/>
            </w:pPr>
            <w:r>
              <w:t>Common Terminology Criteria for Adverse Events</w:t>
            </w:r>
          </w:p>
        </w:tc>
      </w:tr>
      <w:tr w:rsidR="008F65FC" w14:paraId="007D69E3" w14:textId="77777777" w:rsidTr="00B57F24">
        <w:tc>
          <w:tcPr>
            <w:tcW w:w="1077" w:type="pct"/>
          </w:tcPr>
          <w:p w14:paraId="36A618FF" w14:textId="77777777" w:rsidR="008F65FC" w:rsidRDefault="00000000" w:rsidP="00C02238">
            <w:pPr>
              <w:pStyle w:val="V-tablecellleft"/>
            </w:pPr>
            <w:r>
              <w:t>DLT</w:t>
            </w:r>
          </w:p>
        </w:tc>
        <w:tc>
          <w:tcPr>
            <w:tcW w:w="3923" w:type="pct"/>
          </w:tcPr>
          <w:p w14:paraId="1D19C3E8" w14:textId="77777777" w:rsidR="008F65FC" w:rsidRDefault="00000000" w:rsidP="00C02238">
            <w:pPr>
              <w:pStyle w:val="V-tablecellleft"/>
            </w:pPr>
            <w:r>
              <w:t>dose-limiting toxicity</w:t>
            </w:r>
          </w:p>
        </w:tc>
      </w:tr>
      <w:tr w:rsidR="008F65FC" w14:paraId="69F6CA41" w14:textId="77777777" w:rsidTr="00B57F24">
        <w:tc>
          <w:tcPr>
            <w:tcW w:w="1077" w:type="pct"/>
          </w:tcPr>
          <w:p w14:paraId="6653CB55" w14:textId="77777777" w:rsidR="008F65FC" w:rsidRDefault="00000000" w:rsidP="00C02238">
            <w:pPr>
              <w:pStyle w:val="V-tablecellleft"/>
            </w:pPr>
            <w:r>
              <w:t>DOR</w:t>
            </w:r>
          </w:p>
        </w:tc>
        <w:tc>
          <w:tcPr>
            <w:tcW w:w="3923" w:type="pct"/>
          </w:tcPr>
          <w:p w14:paraId="37AC599E" w14:textId="77777777" w:rsidR="008F65FC" w:rsidRDefault="00000000" w:rsidP="00C02238">
            <w:pPr>
              <w:pStyle w:val="V-tablecellleft"/>
            </w:pPr>
            <w:r>
              <w:t>duration of response</w:t>
            </w:r>
          </w:p>
        </w:tc>
      </w:tr>
      <w:tr w:rsidR="008F65FC" w14:paraId="0ECB0022" w14:textId="77777777" w:rsidTr="00B57F24">
        <w:tc>
          <w:tcPr>
            <w:tcW w:w="1077" w:type="pct"/>
          </w:tcPr>
          <w:p w14:paraId="3BBA00DF" w14:textId="77777777" w:rsidR="008F65FC" w:rsidRDefault="00000000" w:rsidP="00C02238">
            <w:pPr>
              <w:pStyle w:val="V-tablecellleft"/>
            </w:pPr>
            <w:r>
              <w:t>ECG</w:t>
            </w:r>
          </w:p>
        </w:tc>
        <w:tc>
          <w:tcPr>
            <w:tcW w:w="3923" w:type="pct"/>
          </w:tcPr>
          <w:p w14:paraId="69C03C02" w14:textId="77777777" w:rsidR="008F65FC" w:rsidRDefault="00000000" w:rsidP="00C02238">
            <w:pPr>
              <w:pStyle w:val="V-tablecellleft"/>
            </w:pPr>
            <w:r>
              <w:t>electrocardiogram</w:t>
            </w:r>
          </w:p>
        </w:tc>
      </w:tr>
      <w:tr w:rsidR="008F65FC" w14:paraId="3C1CF522" w14:textId="77777777" w:rsidTr="00B57F24">
        <w:tc>
          <w:tcPr>
            <w:tcW w:w="1077" w:type="pct"/>
          </w:tcPr>
          <w:p w14:paraId="1CD0BEF1" w14:textId="77777777" w:rsidR="008F65FC" w:rsidRDefault="00000000" w:rsidP="00C02238">
            <w:pPr>
              <w:pStyle w:val="V-tablecellleft"/>
            </w:pPr>
            <w:r>
              <w:t>ECOG</w:t>
            </w:r>
          </w:p>
        </w:tc>
        <w:tc>
          <w:tcPr>
            <w:tcW w:w="3923" w:type="pct"/>
          </w:tcPr>
          <w:p w14:paraId="0F39EBEF" w14:textId="77777777" w:rsidR="008F65FC" w:rsidRDefault="00000000" w:rsidP="00C02238">
            <w:pPr>
              <w:pStyle w:val="V-tablecellleft"/>
            </w:pPr>
            <w:r>
              <w:t>Eastern Cooperative Oncology Group</w:t>
            </w:r>
          </w:p>
        </w:tc>
      </w:tr>
      <w:tr w:rsidR="008F65FC" w14:paraId="19BB645D" w14:textId="77777777" w:rsidTr="00B57F24">
        <w:tc>
          <w:tcPr>
            <w:tcW w:w="1077" w:type="pct"/>
          </w:tcPr>
          <w:p w14:paraId="3DF4F3DE" w14:textId="77777777" w:rsidR="008F65FC" w:rsidRDefault="00000000" w:rsidP="00C02238">
            <w:pPr>
              <w:pStyle w:val="V-tablecellleft"/>
            </w:pPr>
            <w:r>
              <w:t>EOT</w:t>
            </w:r>
          </w:p>
        </w:tc>
        <w:tc>
          <w:tcPr>
            <w:tcW w:w="3923" w:type="pct"/>
          </w:tcPr>
          <w:p w14:paraId="793C4F4E" w14:textId="77777777" w:rsidR="008F65FC" w:rsidRDefault="00000000" w:rsidP="00C02238">
            <w:pPr>
              <w:pStyle w:val="V-tablecellleft"/>
            </w:pPr>
            <w:r>
              <w:t>end of treatment</w:t>
            </w:r>
          </w:p>
        </w:tc>
      </w:tr>
      <w:tr w:rsidR="008F65FC" w14:paraId="639F6F86" w14:textId="77777777" w:rsidTr="00B57F24">
        <w:tc>
          <w:tcPr>
            <w:tcW w:w="1077" w:type="pct"/>
          </w:tcPr>
          <w:p w14:paraId="45061562" w14:textId="77777777" w:rsidR="008F65FC" w:rsidRDefault="00000000" w:rsidP="00C02238">
            <w:pPr>
              <w:pStyle w:val="V-tablecellleft"/>
            </w:pPr>
            <w:r>
              <w:t>FDA</w:t>
            </w:r>
          </w:p>
        </w:tc>
        <w:tc>
          <w:tcPr>
            <w:tcW w:w="3923" w:type="pct"/>
          </w:tcPr>
          <w:p w14:paraId="156F2307" w14:textId="77777777" w:rsidR="008F65FC" w:rsidRDefault="00000000" w:rsidP="00C02238">
            <w:pPr>
              <w:pStyle w:val="V-tablecellleft"/>
            </w:pPr>
            <w:r>
              <w:t>Food and Drug Administration</w:t>
            </w:r>
          </w:p>
        </w:tc>
      </w:tr>
      <w:tr w:rsidR="008F65FC" w14:paraId="6896227E" w14:textId="77777777" w:rsidTr="00B57F24">
        <w:tc>
          <w:tcPr>
            <w:tcW w:w="1077" w:type="pct"/>
          </w:tcPr>
          <w:p w14:paraId="7686596B" w14:textId="77777777" w:rsidR="008F65FC" w:rsidRDefault="00000000" w:rsidP="00C02238">
            <w:pPr>
              <w:pStyle w:val="V-tablecellleft"/>
            </w:pPr>
            <w:r>
              <w:t>GCP</w:t>
            </w:r>
          </w:p>
        </w:tc>
        <w:tc>
          <w:tcPr>
            <w:tcW w:w="3923" w:type="pct"/>
          </w:tcPr>
          <w:p w14:paraId="1B2153BC" w14:textId="77777777" w:rsidR="008F65FC" w:rsidRDefault="00000000" w:rsidP="00C02238">
            <w:pPr>
              <w:pStyle w:val="V-tablecellleft"/>
            </w:pPr>
            <w:r>
              <w:t>good clinical practice</w:t>
            </w:r>
          </w:p>
        </w:tc>
      </w:tr>
      <w:tr w:rsidR="008F65FC" w14:paraId="37E3F87E" w14:textId="77777777" w:rsidTr="00B57F24">
        <w:tc>
          <w:tcPr>
            <w:tcW w:w="1077" w:type="pct"/>
          </w:tcPr>
          <w:p w14:paraId="62B63BC0" w14:textId="77777777" w:rsidR="008F65FC" w:rsidRDefault="00000000" w:rsidP="00C02238">
            <w:pPr>
              <w:pStyle w:val="V-tablecellleft"/>
            </w:pPr>
            <w:r>
              <w:t>HR</w:t>
            </w:r>
          </w:p>
        </w:tc>
        <w:tc>
          <w:tcPr>
            <w:tcW w:w="3923" w:type="pct"/>
          </w:tcPr>
          <w:p w14:paraId="041F17E2" w14:textId="77777777" w:rsidR="008F65FC" w:rsidRDefault="00000000" w:rsidP="00C02238">
            <w:pPr>
              <w:pStyle w:val="V-tablecellleft"/>
            </w:pPr>
            <w:r>
              <w:t>hazard ratio</w:t>
            </w:r>
          </w:p>
        </w:tc>
      </w:tr>
      <w:tr w:rsidR="008F65FC" w14:paraId="78D64ABA" w14:textId="77777777" w:rsidTr="00B57F24">
        <w:tc>
          <w:tcPr>
            <w:tcW w:w="1077" w:type="pct"/>
          </w:tcPr>
          <w:p w14:paraId="3FC0C6E0" w14:textId="77777777" w:rsidR="008F65FC" w:rsidRDefault="00000000" w:rsidP="00C02238">
            <w:pPr>
              <w:pStyle w:val="V-tablecellleft"/>
            </w:pPr>
            <w:r>
              <w:t>HRQoL</w:t>
            </w:r>
          </w:p>
        </w:tc>
        <w:tc>
          <w:tcPr>
            <w:tcW w:w="3923" w:type="pct"/>
          </w:tcPr>
          <w:p w14:paraId="619A55B1" w14:textId="77777777" w:rsidR="008F65FC" w:rsidRDefault="00000000" w:rsidP="00C02238">
            <w:pPr>
              <w:pStyle w:val="V-tablecellleft"/>
            </w:pPr>
            <w:r>
              <w:t>health-related quality of life</w:t>
            </w:r>
          </w:p>
        </w:tc>
      </w:tr>
      <w:tr w:rsidR="008F65FC" w14:paraId="1C14BB43" w14:textId="77777777" w:rsidTr="00B57F24">
        <w:tc>
          <w:tcPr>
            <w:tcW w:w="1077" w:type="pct"/>
          </w:tcPr>
          <w:p w14:paraId="4FFDC332" w14:textId="77777777" w:rsidR="008F65FC" w:rsidRDefault="00000000" w:rsidP="00C02238">
            <w:pPr>
              <w:pStyle w:val="V-tablecellleft"/>
            </w:pPr>
            <w:r>
              <w:t>ICH</w:t>
            </w:r>
          </w:p>
        </w:tc>
        <w:tc>
          <w:tcPr>
            <w:tcW w:w="3923" w:type="pct"/>
          </w:tcPr>
          <w:p w14:paraId="55363825" w14:textId="77777777" w:rsidR="008F65FC" w:rsidRDefault="00000000" w:rsidP="00C02238">
            <w:pPr>
              <w:pStyle w:val="V-tablecellleft"/>
            </w:pPr>
            <w:r>
              <w:t>International Council for Harmonisation</w:t>
            </w:r>
          </w:p>
        </w:tc>
      </w:tr>
      <w:tr w:rsidR="008F65FC" w14:paraId="0E5EDB09" w14:textId="77777777" w:rsidTr="00B57F24">
        <w:tc>
          <w:tcPr>
            <w:tcW w:w="1077" w:type="pct"/>
          </w:tcPr>
          <w:p w14:paraId="3CC269CF" w14:textId="77777777" w:rsidR="008F65FC" w:rsidRDefault="00000000" w:rsidP="00C02238">
            <w:pPr>
              <w:pStyle w:val="V-tablecellleft"/>
            </w:pPr>
            <w:r>
              <w:t>IMP</w:t>
            </w:r>
          </w:p>
        </w:tc>
        <w:tc>
          <w:tcPr>
            <w:tcW w:w="3923" w:type="pct"/>
          </w:tcPr>
          <w:p w14:paraId="0961F774" w14:textId="77777777" w:rsidR="008F65FC" w:rsidRDefault="00000000" w:rsidP="00C02238">
            <w:pPr>
              <w:pStyle w:val="V-tablecellleft"/>
            </w:pPr>
            <w:r>
              <w:t>investigational medicinal product</w:t>
            </w:r>
          </w:p>
        </w:tc>
      </w:tr>
      <w:tr w:rsidR="008F65FC" w14:paraId="1FC0B889" w14:textId="77777777" w:rsidTr="00B57F24">
        <w:tc>
          <w:tcPr>
            <w:tcW w:w="1077" w:type="pct"/>
          </w:tcPr>
          <w:p w14:paraId="6260A851" w14:textId="77777777" w:rsidR="008F65FC" w:rsidRDefault="00000000" w:rsidP="00C02238">
            <w:pPr>
              <w:pStyle w:val="V-tablecellleft"/>
            </w:pPr>
            <w:r>
              <w:t>IND</w:t>
            </w:r>
          </w:p>
        </w:tc>
        <w:tc>
          <w:tcPr>
            <w:tcW w:w="3923" w:type="pct"/>
          </w:tcPr>
          <w:p w14:paraId="3126275C" w14:textId="77777777" w:rsidR="008F65FC" w:rsidRDefault="00000000" w:rsidP="00C02238">
            <w:pPr>
              <w:pStyle w:val="V-tablecellleft"/>
            </w:pPr>
            <w:r>
              <w:t>investigational new drug</w:t>
            </w:r>
          </w:p>
        </w:tc>
      </w:tr>
      <w:tr w:rsidR="008F65FC" w14:paraId="55AC4ADF" w14:textId="77777777" w:rsidTr="00B57F24">
        <w:tc>
          <w:tcPr>
            <w:tcW w:w="1077" w:type="pct"/>
          </w:tcPr>
          <w:p w14:paraId="68059D18" w14:textId="77777777" w:rsidR="008F65FC" w:rsidRDefault="00000000" w:rsidP="00C02238">
            <w:pPr>
              <w:pStyle w:val="V-tablecellleft"/>
            </w:pPr>
            <w:r>
              <w:t>IV</w:t>
            </w:r>
          </w:p>
        </w:tc>
        <w:tc>
          <w:tcPr>
            <w:tcW w:w="3923" w:type="pct"/>
          </w:tcPr>
          <w:p w14:paraId="3A687DBB" w14:textId="77777777" w:rsidR="008F65FC" w:rsidRDefault="00000000" w:rsidP="00C02238">
            <w:pPr>
              <w:pStyle w:val="V-tablecellleft"/>
            </w:pPr>
            <w:r>
              <w:t>intravenous</w:t>
            </w:r>
          </w:p>
        </w:tc>
      </w:tr>
      <w:tr w:rsidR="008F65FC" w14:paraId="7EDBC01A" w14:textId="77777777" w:rsidTr="00B57F24">
        <w:tc>
          <w:tcPr>
            <w:tcW w:w="1077" w:type="pct"/>
          </w:tcPr>
          <w:p w14:paraId="3F741784" w14:textId="77777777" w:rsidR="008F65FC" w:rsidRDefault="00000000" w:rsidP="00C02238">
            <w:pPr>
              <w:pStyle w:val="V-tablecellleft"/>
            </w:pPr>
            <w:r>
              <w:t>MTD</w:t>
            </w:r>
          </w:p>
        </w:tc>
        <w:tc>
          <w:tcPr>
            <w:tcW w:w="3923" w:type="pct"/>
          </w:tcPr>
          <w:p w14:paraId="63B7022F" w14:textId="77777777" w:rsidR="008F65FC" w:rsidRDefault="00000000" w:rsidP="00C02238">
            <w:pPr>
              <w:pStyle w:val="V-tablecellleft"/>
            </w:pPr>
            <w:r>
              <w:t>maximum tolerated dose</w:t>
            </w:r>
          </w:p>
        </w:tc>
      </w:tr>
      <w:tr w:rsidR="008F65FC" w14:paraId="0C8DCFDF" w14:textId="77777777" w:rsidTr="00B57F24">
        <w:tc>
          <w:tcPr>
            <w:tcW w:w="1077" w:type="pct"/>
          </w:tcPr>
          <w:p w14:paraId="4F65AF63" w14:textId="77777777" w:rsidR="008F65FC" w:rsidRDefault="00000000" w:rsidP="00C02238">
            <w:pPr>
              <w:pStyle w:val="V-tablecellleft"/>
            </w:pPr>
            <w:r>
              <w:t>ORR</w:t>
            </w:r>
          </w:p>
        </w:tc>
        <w:tc>
          <w:tcPr>
            <w:tcW w:w="3923" w:type="pct"/>
          </w:tcPr>
          <w:p w14:paraId="0B06523E" w14:textId="77777777" w:rsidR="008F65FC" w:rsidRDefault="00000000" w:rsidP="00C02238">
            <w:pPr>
              <w:pStyle w:val="V-tablecellleft"/>
            </w:pPr>
            <w:r>
              <w:t>objective response rate</w:t>
            </w:r>
          </w:p>
        </w:tc>
      </w:tr>
      <w:tr w:rsidR="008F65FC" w14:paraId="0B7F08E5" w14:textId="77777777" w:rsidTr="00B57F24">
        <w:tc>
          <w:tcPr>
            <w:tcW w:w="1077" w:type="pct"/>
          </w:tcPr>
          <w:p w14:paraId="376C4C18" w14:textId="77777777" w:rsidR="008F65FC" w:rsidRDefault="00000000" w:rsidP="00C02238">
            <w:pPr>
              <w:pStyle w:val="V-tablecellleft"/>
            </w:pPr>
            <w:r>
              <w:t>OS</w:t>
            </w:r>
          </w:p>
        </w:tc>
        <w:tc>
          <w:tcPr>
            <w:tcW w:w="3923" w:type="pct"/>
          </w:tcPr>
          <w:p w14:paraId="50B00365" w14:textId="77777777" w:rsidR="008F65FC" w:rsidRDefault="00000000" w:rsidP="00C02238">
            <w:pPr>
              <w:pStyle w:val="V-tablecellleft"/>
            </w:pPr>
            <w:r>
              <w:t>overall survival</w:t>
            </w:r>
          </w:p>
        </w:tc>
      </w:tr>
      <w:tr w:rsidR="008F65FC" w14:paraId="7BAE6076" w14:textId="77777777" w:rsidTr="00B57F24">
        <w:tc>
          <w:tcPr>
            <w:tcW w:w="1077" w:type="pct"/>
          </w:tcPr>
          <w:p w14:paraId="2384EC72" w14:textId="77777777" w:rsidR="008F65FC" w:rsidRDefault="00000000" w:rsidP="00C02238">
            <w:pPr>
              <w:pStyle w:val="V-tablecellleft"/>
            </w:pPr>
            <w:r>
              <w:t>PD</w:t>
            </w:r>
          </w:p>
        </w:tc>
        <w:tc>
          <w:tcPr>
            <w:tcW w:w="3923" w:type="pct"/>
          </w:tcPr>
          <w:p w14:paraId="3D6F8E2E" w14:textId="77777777" w:rsidR="008F65FC" w:rsidRDefault="00000000" w:rsidP="00C02238">
            <w:pPr>
              <w:pStyle w:val="V-tablecellleft"/>
            </w:pPr>
            <w:r>
              <w:t>pharmacodynamic(s)</w:t>
            </w:r>
          </w:p>
        </w:tc>
      </w:tr>
      <w:tr w:rsidR="008F65FC" w14:paraId="4B42BA8A" w14:textId="77777777" w:rsidTr="00B57F24">
        <w:tc>
          <w:tcPr>
            <w:tcW w:w="1077" w:type="pct"/>
          </w:tcPr>
          <w:p w14:paraId="6BB78254" w14:textId="77777777" w:rsidR="008F65FC" w:rsidRDefault="00000000" w:rsidP="00C02238">
            <w:pPr>
              <w:pStyle w:val="V-tablecellleft"/>
            </w:pPr>
            <w:r>
              <w:t>PFS</w:t>
            </w:r>
          </w:p>
        </w:tc>
        <w:tc>
          <w:tcPr>
            <w:tcW w:w="3923" w:type="pct"/>
          </w:tcPr>
          <w:p w14:paraId="7A0FCD45" w14:textId="77777777" w:rsidR="008F65FC" w:rsidRDefault="00000000" w:rsidP="00C02238">
            <w:pPr>
              <w:pStyle w:val="V-tablecellleft"/>
            </w:pPr>
            <w:r>
              <w:t>progression-free survival</w:t>
            </w:r>
          </w:p>
        </w:tc>
      </w:tr>
      <w:tr w:rsidR="008F65FC" w14:paraId="17E3C40A" w14:textId="77777777" w:rsidTr="00B57F24">
        <w:tc>
          <w:tcPr>
            <w:tcW w:w="1077" w:type="pct"/>
          </w:tcPr>
          <w:p w14:paraId="59FB1E51" w14:textId="77777777" w:rsidR="008F65FC" w:rsidRDefault="00000000" w:rsidP="00C02238">
            <w:pPr>
              <w:pStyle w:val="V-tablecellleft"/>
            </w:pPr>
            <w:r>
              <w:t>PK</w:t>
            </w:r>
          </w:p>
        </w:tc>
        <w:tc>
          <w:tcPr>
            <w:tcW w:w="3923" w:type="pct"/>
          </w:tcPr>
          <w:p w14:paraId="11C6EFA2" w14:textId="77777777" w:rsidR="008F65FC" w:rsidRDefault="00000000" w:rsidP="00C02238">
            <w:pPr>
              <w:pStyle w:val="V-tablecellleft"/>
            </w:pPr>
            <w:r>
              <w:t>pharmacokinetic(s)</w:t>
            </w:r>
          </w:p>
        </w:tc>
      </w:tr>
      <w:tr w:rsidR="008F65FC" w14:paraId="3AF01D25" w14:textId="77777777" w:rsidTr="00B57F24">
        <w:tc>
          <w:tcPr>
            <w:tcW w:w="1077" w:type="pct"/>
          </w:tcPr>
          <w:p w14:paraId="4DC121FB" w14:textId="77777777" w:rsidR="008F65FC" w:rsidRDefault="00000000" w:rsidP="00C02238">
            <w:pPr>
              <w:pStyle w:val="V-tablecellleft"/>
            </w:pPr>
            <w:r>
              <w:t>PO</w:t>
            </w:r>
          </w:p>
        </w:tc>
        <w:tc>
          <w:tcPr>
            <w:tcW w:w="3923" w:type="pct"/>
          </w:tcPr>
          <w:p w14:paraId="05417347" w14:textId="77777777" w:rsidR="008F65FC" w:rsidRDefault="00000000" w:rsidP="00C02238">
            <w:pPr>
              <w:pStyle w:val="V-tablecellleft"/>
            </w:pPr>
            <w:r>
              <w:t>by mouth (oral)</w:t>
            </w:r>
          </w:p>
        </w:tc>
      </w:tr>
      <w:tr w:rsidR="008F65FC" w14:paraId="594F0519" w14:textId="77777777" w:rsidTr="00B57F24">
        <w:tc>
          <w:tcPr>
            <w:tcW w:w="1077" w:type="pct"/>
          </w:tcPr>
          <w:p w14:paraId="17E4713A" w14:textId="77777777" w:rsidR="008F65FC" w:rsidRDefault="00000000" w:rsidP="00C02238">
            <w:pPr>
              <w:pStyle w:val="V-tablecellleft"/>
            </w:pPr>
            <w:r>
              <w:t>Q3W</w:t>
            </w:r>
          </w:p>
        </w:tc>
        <w:tc>
          <w:tcPr>
            <w:tcW w:w="3923" w:type="pct"/>
          </w:tcPr>
          <w:p w14:paraId="31D87D63" w14:textId="77777777" w:rsidR="008F65FC" w:rsidRDefault="00000000" w:rsidP="00C02238">
            <w:pPr>
              <w:pStyle w:val="V-tablecellleft"/>
            </w:pPr>
            <w:r>
              <w:t>every 3 weeks</w:t>
            </w:r>
          </w:p>
        </w:tc>
      </w:tr>
      <w:tr w:rsidR="008F65FC" w14:paraId="11EA07E9" w14:textId="77777777" w:rsidTr="00B57F24">
        <w:tc>
          <w:tcPr>
            <w:tcW w:w="1077" w:type="pct"/>
          </w:tcPr>
          <w:p w14:paraId="289AF0AE" w14:textId="77777777" w:rsidR="008F65FC" w:rsidRDefault="00000000" w:rsidP="00C02238">
            <w:pPr>
              <w:pStyle w:val="V-tablecellleft"/>
            </w:pPr>
            <w:r>
              <w:t>QD</w:t>
            </w:r>
          </w:p>
        </w:tc>
        <w:tc>
          <w:tcPr>
            <w:tcW w:w="3923" w:type="pct"/>
          </w:tcPr>
          <w:p w14:paraId="5B100DB0" w14:textId="77777777" w:rsidR="008F65FC" w:rsidRDefault="00000000" w:rsidP="00C02238">
            <w:pPr>
              <w:pStyle w:val="V-tablecellleft"/>
            </w:pPr>
            <w:r>
              <w:t>once daily</w:t>
            </w:r>
          </w:p>
        </w:tc>
      </w:tr>
      <w:tr w:rsidR="008F65FC" w14:paraId="167D424D" w14:textId="77777777" w:rsidTr="00B57F24">
        <w:tc>
          <w:tcPr>
            <w:tcW w:w="1077" w:type="pct"/>
          </w:tcPr>
          <w:p w14:paraId="47836A85" w14:textId="77777777" w:rsidR="008F65FC" w:rsidRDefault="00000000" w:rsidP="00C02238">
            <w:pPr>
              <w:pStyle w:val="V-tablecellleft"/>
            </w:pPr>
            <w:r>
              <w:t>QT</w:t>
            </w:r>
          </w:p>
        </w:tc>
        <w:tc>
          <w:tcPr>
            <w:tcW w:w="3923" w:type="pct"/>
          </w:tcPr>
          <w:p w14:paraId="179A5360" w14:textId="77777777" w:rsidR="008F65FC" w:rsidRDefault="00000000" w:rsidP="00C02238">
            <w:pPr>
              <w:pStyle w:val="V-tablecellleft"/>
            </w:pPr>
            <w:r>
              <w:t>QT interval</w:t>
            </w:r>
          </w:p>
        </w:tc>
      </w:tr>
      <w:tr w:rsidR="008F65FC" w14:paraId="41686BBE" w14:textId="77777777" w:rsidTr="00B57F24">
        <w:tc>
          <w:tcPr>
            <w:tcW w:w="1077" w:type="pct"/>
          </w:tcPr>
          <w:p w14:paraId="5E652ED5" w14:textId="77777777" w:rsidR="008F65FC" w:rsidRDefault="00000000" w:rsidP="00C02238">
            <w:pPr>
              <w:pStyle w:val="V-tablecellleft"/>
            </w:pPr>
            <w:r>
              <w:t>RECIST</w:t>
            </w:r>
          </w:p>
        </w:tc>
        <w:tc>
          <w:tcPr>
            <w:tcW w:w="3923" w:type="pct"/>
          </w:tcPr>
          <w:p w14:paraId="6AC27752" w14:textId="77777777" w:rsidR="008F65FC" w:rsidRDefault="00000000" w:rsidP="00C02238">
            <w:pPr>
              <w:pStyle w:val="V-tablecellleft"/>
            </w:pPr>
            <w:r>
              <w:t>Response Evaluation Criteria in Solid Tumors</w:t>
            </w:r>
          </w:p>
        </w:tc>
      </w:tr>
      <w:tr w:rsidR="008F65FC" w14:paraId="7302B03A" w14:textId="77777777" w:rsidTr="00B57F24">
        <w:tc>
          <w:tcPr>
            <w:tcW w:w="1077" w:type="pct"/>
          </w:tcPr>
          <w:p w14:paraId="5DFA2187" w14:textId="77777777" w:rsidR="008F65FC" w:rsidRDefault="00000000" w:rsidP="00C02238">
            <w:pPr>
              <w:pStyle w:val="V-tablecellleft"/>
            </w:pPr>
            <w:r>
              <w:lastRenderedPageBreak/>
              <w:t>RP2D</w:t>
            </w:r>
          </w:p>
        </w:tc>
        <w:tc>
          <w:tcPr>
            <w:tcW w:w="3923" w:type="pct"/>
          </w:tcPr>
          <w:p w14:paraId="5FE51926" w14:textId="77777777" w:rsidR="008F65FC" w:rsidRDefault="00000000" w:rsidP="00C02238">
            <w:pPr>
              <w:pStyle w:val="V-tablecellleft"/>
            </w:pPr>
            <w:r>
              <w:t>recommended Phase 2 dose</w:t>
            </w:r>
          </w:p>
        </w:tc>
      </w:tr>
      <w:tr w:rsidR="008F65FC" w14:paraId="74BB70FF" w14:textId="77777777" w:rsidTr="00B57F24">
        <w:tc>
          <w:tcPr>
            <w:tcW w:w="1077" w:type="pct"/>
          </w:tcPr>
          <w:p w14:paraId="492F90B7" w14:textId="77777777" w:rsidR="008F65FC" w:rsidRDefault="00000000" w:rsidP="00C02238">
            <w:pPr>
              <w:pStyle w:val="V-tablecellleft"/>
            </w:pPr>
            <w:r>
              <w:t>SAE</w:t>
            </w:r>
          </w:p>
        </w:tc>
        <w:tc>
          <w:tcPr>
            <w:tcW w:w="3923" w:type="pct"/>
          </w:tcPr>
          <w:p w14:paraId="40CF88AF" w14:textId="77777777" w:rsidR="008F65FC" w:rsidRDefault="00000000" w:rsidP="00C02238">
            <w:pPr>
              <w:pStyle w:val="V-tablecellleft"/>
            </w:pPr>
            <w:r>
              <w:t>serious adverse event</w:t>
            </w:r>
          </w:p>
        </w:tc>
      </w:tr>
      <w:tr w:rsidR="008F65FC" w14:paraId="7C32C85A" w14:textId="77777777" w:rsidTr="00B57F24">
        <w:tc>
          <w:tcPr>
            <w:tcW w:w="1077" w:type="pct"/>
          </w:tcPr>
          <w:p w14:paraId="55EAD528" w14:textId="77777777" w:rsidR="008F65FC" w:rsidRDefault="00000000" w:rsidP="00C02238">
            <w:pPr>
              <w:pStyle w:val="V-tablecellleft"/>
            </w:pPr>
            <w:r>
              <w:t>SoA</w:t>
            </w:r>
          </w:p>
        </w:tc>
        <w:tc>
          <w:tcPr>
            <w:tcW w:w="3923" w:type="pct"/>
          </w:tcPr>
          <w:p w14:paraId="2D003660" w14:textId="77777777" w:rsidR="008F65FC" w:rsidRDefault="00000000" w:rsidP="00C02238">
            <w:pPr>
              <w:pStyle w:val="V-tablecellleft"/>
            </w:pPr>
            <w:r>
              <w:t>schedule of activities</w:t>
            </w:r>
          </w:p>
        </w:tc>
      </w:tr>
      <w:tr w:rsidR="008F65FC" w14:paraId="2ED9975E" w14:textId="77777777" w:rsidTr="00B57F24">
        <w:tc>
          <w:tcPr>
            <w:tcW w:w="1077" w:type="pct"/>
          </w:tcPr>
          <w:p w14:paraId="433D2FD6" w14:textId="77777777" w:rsidR="008F65FC" w:rsidRDefault="00000000" w:rsidP="00C02238">
            <w:pPr>
              <w:pStyle w:val="V-tablecellleft"/>
            </w:pPr>
            <w:r>
              <w:t>SRC</w:t>
            </w:r>
          </w:p>
        </w:tc>
        <w:tc>
          <w:tcPr>
            <w:tcW w:w="3923" w:type="pct"/>
          </w:tcPr>
          <w:p w14:paraId="1D610A6C" w14:textId="77777777" w:rsidR="008F65FC" w:rsidRDefault="00000000" w:rsidP="00C02238">
            <w:pPr>
              <w:pStyle w:val="V-tablecellleft"/>
            </w:pPr>
            <w:r>
              <w:t>Safety Review Committee</w:t>
            </w:r>
          </w:p>
        </w:tc>
      </w:tr>
      <w:tr w:rsidR="008F65FC" w14:paraId="4F5705A5" w14:textId="77777777" w:rsidTr="00B57F24">
        <w:tc>
          <w:tcPr>
            <w:tcW w:w="1077" w:type="pct"/>
          </w:tcPr>
          <w:p w14:paraId="6C90CB96" w14:textId="77777777" w:rsidR="008F65FC" w:rsidRDefault="00000000" w:rsidP="00C02238">
            <w:pPr>
              <w:pStyle w:val="V-tablecellleft"/>
            </w:pPr>
            <w:r>
              <w:t>SUSAR</w:t>
            </w:r>
          </w:p>
        </w:tc>
        <w:tc>
          <w:tcPr>
            <w:tcW w:w="3923" w:type="pct"/>
          </w:tcPr>
          <w:p w14:paraId="09DF1C8D" w14:textId="77777777" w:rsidR="008F65FC" w:rsidRDefault="00000000" w:rsidP="00C02238">
            <w:pPr>
              <w:pStyle w:val="V-tablecellleft"/>
            </w:pPr>
            <w:r>
              <w:t>suspected unexpected serious adverse reaction</w:t>
            </w:r>
          </w:p>
        </w:tc>
      </w:tr>
      <w:tr w:rsidR="008F65FC" w14:paraId="2CA1C47B" w14:textId="77777777" w:rsidTr="00B57F24">
        <w:tc>
          <w:tcPr>
            <w:tcW w:w="1077" w:type="pct"/>
          </w:tcPr>
          <w:p w14:paraId="58805C2A" w14:textId="77777777" w:rsidR="008F65FC" w:rsidRDefault="00000000" w:rsidP="00C02238">
            <w:pPr>
              <w:pStyle w:val="V-tablecellleft"/>
            </w:pPr>
            <w:r>
              <w:t>T</w:t>
            </w:r>
            <w:r>
              <w:rPr>
                <w:vertAlign w:val="subscript"/>
              </w:rPr>
              <w:t>max</w:t>
            </w:r>
          </w:p>
        </w:tc>
        <w:tc>
          <w:tcPr>
            <w:tcW w:w="3923" w:type="pct"/>
          </w:tcPr>
          <w:p w14:paraId="4F5C8D33" w14:textId="77777777" w:rsidR="008F65FC" w:rsidRDefault="00000000" w:rsidP="00C02238">
            <w:pPr>
              <w:pStyle w:val="V-tablecellleft"/>
            </w:pPr>
            <w:r>
              <w:t>time to maximum concentration</w:t>
            </w:r>
          </w:p>
        </w:tc>
      </w:tr>
      <w:tr w:rsidR="008F65FC" w14:paraId="583C13EB" w14:textId="77777777" w:rsidTr="00B57F24">
        <w:tc>
          <w:tcPr>
            <w:tcW w:w="1077" w:type="pct"/>
          </w:tcPr>
          <w:p w14:paraId="54FB6C30" w14:textId="77777777" w:rsidR="008F65FC" w:rsidRDefault="00000000" w:rsidP="00C02238">
            <w:pPr>
              <w:pStyle w:val="V-tablecellleft"/>
            </w:pPr>
            <w:r>
              <w:t>ULN</w:t>
            </w:r>
          </w:p>
        </w:tc>
        <w:tc>
          <w:tcPr>
            <w:tcW w:w="3923" w:type="pct"/>
          </w:tcPr>
          <w:p w14:paraId="4C724E8B" w14:textId="77777777" w:rsidR="008F65FC" w:rsidRDefault="00000000" w:rsidP="00C02238">
            <w:pPr>
              <w:pStyle w:val="V-tablecellleft"/>
            </w:pPr>
            <w:r>
              <w:t>upper limit of normal</w:t>
            </w:r>
          </w:p>
        </w:tc>
      </w:tr>
      <w:tr w:rsidR="008F65FC" w14:paraId="3B9FAB75" w14:textId="77777777" w:rsidTr="00B57F24">
        <w:tc>
          <w:tcPr>
            <w:tcW w:w="1077" w:type="pct"/>
          </w:tcPr>
          <w:p w14:paraId="13D50E04" w14:textId="77777777" w:rsidR="008F65FC" w:rsidRDefault="00000000" w:rsidP="00C02238">
            <w:pPr>
              <w:pStyle w:val="V-tablecellleft"/>
            </w:pPr>
            <w:r>
              <w:t>V</w:t>
            </w:r>
            <w:r>
              <w:rPr>
                <w:vertAlign w:val="subscript"/>
              </w:rPr>
              <w:t>ss</w:t>
            </w:r>
          </w:p>
        </w:tc>
        <w:tc>
          <w:tcPr>
            <w:tcW w:w="3923" w:type="pct"/>
          </w:tcPr>
          <w:p w14:paraId="6F877BA7" w14:textId="77777777" w:rsidR="008F65FC" w:rsidRDefault="00000000" w:rsidP="00C02238">
            <w:pPr>
              <w:pStyle w:val="V-tablecellleft"/>
            </w:pPr>
            <w:r>
              <w:t>volume of distribution at steady state</w:t>
            </w:r>
          </w:p>
        </w:tc>
      </w:tr>
      <w:tr w:rsidR="008F65FC" w14:paraId="56BF74C5" w14:textId="77777777" w:rsidTr="00B57F24">
        <w:tc>
          <w:tcPr>
            <w:tcW w:w="1077" w:type="pct"/>
          </w:tcPr>
          <w:p w14:paraId="77816FA8" w14:textId="77777777" w:rsidR="008F65FC" w:rsidRDefault="00000000" w:rsidP="00C02238">
            <w:pPr>
              <w:pStyle w:val="V-tablecellleft"/>
            </w:pPr>
            <w:r>
              <w:t>WOCBP</w:t>
            </w:r>
          </w:p>
        </w:tc>
        <w:tc>
          <w:tcPr>
            <w:tcW w:w="3923" w:type="pct"/>
          </w:tcPr>
          <w:p w14:paraId="3BA57D29" w14:textId="77777777" w:rsidR="008F65FC" w:rsidRDefault="00000000" w:rsidP="00C02238">
            <w:pPr>
              <w:pStyle w:val="V-tablecellleft"/>
            </w:pPr>
            <w:r>
              <w:t>woman of childbearing potential</w:t>
            </w:r>
          </w:p>
        </w:tc>
      </w:tr>
    </w:tbl>
    <w:p w14:paraId="09EF9278" w14:textId="77777777" w:rsidR="008F65FC" w:rsidRDefault="005F45D2" w:rsidP="00BA20DE">
      <w:pPr>
        <w:pStyle w:val="V-heading1"/>
      </w:pPr>
      <w:bookmarkStart w:id="7" w:name="_Toc233801660"/>
      <w:r>
        <w:lastRenderedPageBreak/>
        <w:t>PROTOCOL SUMMARY</w:t>
      </w:r>
      <w:bookmarkEnd w:id="7"/>
    </w:p>
    <w:p w14:paraId="46D2C475" w14:textId="77777777" w:rsidR="008F65FC" w:rsidRPr="005F45D2" w:rsidRDefault="00000000" w:rsidP="005552F9">
      <w:pPr>
        <w:pStyle w:val="V-heading2"/>
      </w:pPr>
      <w:bookmarkStart w:id="8" w:name="_Toc233801661"/>
      <w:r>
        <w:t>Protocol Synopsis</w:t>
      </w:r>
      <w:bookmarkEnd w:id="8"/>
    </w:p>
    <w:p w14:paraId="6C270563" w14:textId="155E365C" w:rsidR="008F65FC" w:rsidRDefault="00000000" w:rsidP="00B15397">
      <w:pPr>
        <w:pStyle w:val="V-Guidance"/>
      </w:pPr>
      <w:r>
        <w:t xml:space="preserve">ICH M11 §1.1. </w:t>
      </w:r>
      <w:r w:rsidR="000866F7">
        <w:t>Guidance provides headings only for protocol summary section. The intent of this section is to summarize the entire study</w:t>
      </w:r>
      <w:r w:rsidR="00452F4D">
        <w:t>. O</w:t>
      </w:r>
      <w:r w:rsidR="000866F7">
        <w:t>ften Sponsor’s will use the synopsis for external engagement (</w:t>
      </w:r>
      <w:r w:rsidR="00452F4D">
        <w:t xml:space="preserve">e.g. </w:t>
      </w:r>
      <w:r w:rsidR="000866F7">
        <w:t>with CRO</w:t>
      </w:r>
      <w:r w:rsidR="00452F4D">
        <w:t>s</w:t>
      </w:r>
      <w:r w:rsidR="000866F7">
        <w:t xml:space="preserve"> </w:t>
      </w:r>
      <w:r w:rsidR="00452F4D">
        <w:t>and/</w:t>
      </w:r>
      <w:r w:rsidR="000866F7">
        <w:t xml:space="preserve">or Investigators). The legacy ICH E6 guidance had a single synopsis table to summarize the study. An example is provided here; since then, some </w:t>
      </w:r>
      <w:r w:rsidR="007F7D80">
        <w:t>Sponsors</w:t>
      </w:r>
      <w:r w:rsidR="000866F7">
        <w:t xml:space="preserve"> have moved to a written (narrative) synopsis format based on M11 subsections for 1.1.1 Primary and Secondary objectives and 1.1.2 overall design. </w:t>
      </w:r>
      <w:r w:rsidR="007F7D80">
        <w:t xml:space="preserve">Sponsor should pick one of the two format styles (single table vs narrative body). The synopsis should be consistent with the body of the protocol and no new information should be introduced that is not in the main protocol body. </w:t>
      </w:r>
      <w:bookmarkStart w:id="9" w:name="_Toc233620067"/>
      <w:bookmarkEnd w:id="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A26610" w14:paraId="0593847C" w14:textId="77777777" w:rsidTr="00B57F24">
        <w:tc>
          <w:tcPr>
            <w:tcW w:w="5000" w:type="pct"/>
          </w:tcPr>
          <w:p w14:paraId="300687C6" w14:textId="5E9835F8" w:rsidR="00A26610" w:rsidRDefault="00452F4D" w:rsidP="00FB320D">
            <w:pPr>
              <w:pStyle w:val="V-SynopsisHeading"/>
            </w:pPr>
            <w:r>
              <w:t xml:space="preserve">Name of </w:t>
            </w:r>
            <w:r w:rsidR="00A26610">
              <w:t>Sponsor</w:t>
            </w:r>
            <w:r>
              <w:t>/Company</w:t>
            </w:r>
            <w:r w:rsidR="00A26610">
              <w:t xml:space="preserve">: </w:t>
            </w:r>
            <w:r w:rsidR="00A26610">
              <w:rPr>
                <w:b w:val="0"/>
                <w:bCs w:val="0"/>
              </w:rPr>
              <w:t>Sponsor Pharmaceuticals Inc.</w:t>
            </w:r>
          </w:p>
        </w:tc>
      </w:tr>
      <w:tr w:rsidR="00452F4D" w14:paraId="791BEC48" w14:textId="77777777" w:rsidTr="00B57F24">
        <w:tc>
          <w:tcPr>
            <w:tcW w:w="5000" w:type="pct"/>
          </w:tcPr>
          <w:p w14:paraId="1A6A3FBD" w14:textId="26FF6962" w:rsidR="00452F4D" w:rsidRPr="00452F4D" w:rsidRDefault="00452F4D" w:rsidP="00452F4D">
            <w:pPr>
              <w:pStyle w:val="V-SynopsisHeading"/>
            </w:pPr>
            <w:r>
              <w:t xml:space="preserve">Name of Investigational Product: </w:t>
            </w:r>
            <w:r w:rsidRPr="00452F4D">
              <w:rPr>
                <w:b w:val="0"/>
                <w:bCs w:val="0"/>
              </w:rPr>
              <w:t>DRUG-123</w:t>
            </w:r>
          </w:p>
        </w:tc>
      </w:tr>
      <w:tr w:rsidR="00FF0884" w14:paraId="5F71D27B" w14:textId="77777777" w:rsidTr="00B57F24">
        <w:tc>
          <w:tcPr>
            <w:tcW w:w="5000" w:type="pct"/>
          </w:tcPr>
          <w:p w14:paraId="074E3C74" w14:textId="77777777" w:rsidR="00FF0884" w:rsidRDefault="00000000" w:rsidP="00A26610">
            <w:pPr>
              <w:pStyle w:val="V-SynopsisHeading"/>
            </w:pPr>
            <w:r w:rsidRPr="00B15397">
              <w:t>Protocol Title</w:t>
            </w:r>
            <w:r>
              <w:rPr>
                <w:b w:val="0"/>
                <w:bCs w:val="0"/>
              </w:rPr>
              <w:t>: A Phase 1, First-in-Human, Open-Label, Multicenter, Dose-Finding Study of DRUG‑123 in Adult Patients With Advanced or Metastatic Solid Tumors.</w:t>
            </w:r>
          </w:p>
        </w:tc>
      </w:tr>
      <w:tr w:rsidR="00FF0884" w14:paraId="4122CA04" w14:textId="77777777" w:rsidTr="00B57F24">
        <w:tc>
          <w:tcPr>
            <w:tcW w:w="5000" w:type="pct"/>
          </w:tcPr>
          <w:p w14:paraId="2CA49632" w14:textId="77777777" w:rsidR="00FF0884" w:rsidRDefault="00000000" w:rsidP="00A26610">
            <w:pPr>
              <w:pStyle w:val="V-SynopsisHeading"/>
            </w:pPr>
            <w:r>
              <w:t xml:space="preserve">Protocol Number: </w:t>
            </w:r>
            <w:r>
              <w:rPr>
                <w:b w:val="0"/>
                <w:bCs w:val="0"/>
              </w:rPr>
              <w:t>Study DRUG‑123-001</w:t>
            </w:r>
          </w:p>
        </w:tc>
      </w:tr>
      <w:tr w:rsidR="00FF0884" w14:paraId="75EA2226" w14:textId="77777777" w:rsidTr="00B57F24">
        <w:tc>
          <w:tcPr>
            <w:tcW w:w="5000" w:type="pct"/>
          </w:tcPr>
          <w:p w14:paraId="6EACCABA" w14:textId="77777777" w:rsidR="00FF0884" w:rsidRDefault="00000000" w:rsidP="00A26610">
            <w:pPr>
              <w:pStyle w:val="V-SynopsisHeading"/>
            </w:pPr>
            <w:r>
              <w:t xml:space="preserve">Regulatory Agency Identifier Number(s): </w:t>
            </w:r>
            <w:r>
              <w:rPr>
                <w:b w:val="0"/>
                <w:bCs w:val="0"/>
              </w:rPr>
              <w:t>IND XXXXXX</w:t>
            </w:r>
          </w:p>
        </w:tc>
      </w:tr>
      <w:tr w:rsidR="00452F4D" w14:paraId="1151F41D" w14:textId="77777777" w:rsidTr="00B57F24">
        <w:tc>
          <w:tcPr>
            <w:tcW w:w="5000" w:type="pct"/>
          </w:tcPr>
          <w:p w14:paraId="4E1CE3A5" w14:textId="1F67B12F" w:rsidR="00452F4D" w:rsidRDefault="00452F4D" w:rsidP="00452F4D">
            <w:pPr>
              <w:pStyle w:val="V-SynopsisHeading"/>
            </w:pPr>
            <w:r>
              <w:t xml:space="preserve">Study Duration: </w:t>
            </w:r>
            <w:r w:rsidRPr="00452F4D">
              <w:rPr>
                <w:b w:val="0"/>
                <w:bCs w:val="0"/>
              </w:rPr>
              <w:t>3 to 5 years</w:t>
            </w:r>
          </w:p>
          <w:p w14:paraId="64CF9CD8" w14:textId="77777777" w:rsidR="00452F4D" w:rsidRPr="00452F4D" w:rsidRDefault="00452F4D" w:rsidP="00452F4D">
            <w:pPr>
              <w:pStyle w:val="V-SynopsisBodyText"/>
            </w:pPr>
            <w:r w:rsidRPr="00452F4D">
              <w:t>Estimated date first patient enrolled: 1H/2026</w:t>
            </w:r>
          </w:p>
          <w:p w14:paraId="0F88E1FA" w14:textId="47BE090B" w:rsidR="00452F4D" w:rsidRDefault="00452F4D" w:rsidP="00452F4D">
            <w:pPr>
              <w:pStyle w:val="V-SynopsisBodyText"/>
            </w:pPr>
            <w:r w:rsidRPr="00452F4D">
              <w:t xml:space="preserve">Estimated date last </w:t>
            </w:r>
            <w:r w:rsidR="00153D5F">
              <w:t>patient</w:t>
            </w:r>
            <w:r w:rsidRPr="00452F4D">
              <w:t xml:space="preserve"> enrolled: 2H/2028</w:t>
            </w:r>
          </w:p>
        </w:tc>
      </w:tr>
      <w:tr w:rsidR="00452F4D" w14:paraId="5991458C" w14:textId="77777777" w:rsidTr="00B57F24">
        <w:tc>
          <w:tcPr>
            <w:tcW w:w="5000" w:type="pct"/>
          </w:tcPr>
          <w:p w14:paraId="24653439" w14:textId="04C707C5" w:rsidR="00452F4D" w:rsidRDefault="00452F4D" w:rsidP="00452F4D">
            <w:pPr>
              <w:pStyle w:val="V-SynopsisHeading"/>
            </w:pPr>
            <w:r>
              <w:t xml:space="preserve">Study Centers: </w:t>
            </w:r>
            <w:r w:rsidRPr="00452F4D">
              <w:rPr>
                <w:b w:val="0"/>
                <w:bCs w:val="0"/>
              </w:rPr>
              <w:t>Multicenter; approximately 15 sites in North America and Europe.</w:t>
            </w:r>
          </w:p>
        </w:tc>
      </w:tr>
      <w:tr w:rsidR="00FF0884" w14:paraId="08E708DC" w14:textId="77777777" w:rsidTr="00B57F24">
        <w:tc>
          <w:tcPr>
            <w:tcW w:w="5000" w:type="pct"/>
          </w:tcPr>
          <w:p w14:paraId="7117A228" w14:textId="7D6999D9" w:rsidR="00FF0884" w:rsidRDefault="00000000">
            <w:pPr>
              <w:pStyle w:val="V-tablerowheader"/>
            </w:pPr>
            <w:r>
              <w:t xml:space="preserve">Study Design </w:t>
            </w:r>
            <w:r w:rsidR="00B15397">
              <w:t>Overview</w:t>
            </w:r>
            <w:r>
              <w:t>:</w:t>
            </w:r>
          </w:p>
          <w:p w14:paraId="32B4D058" w14:textId="77777777" w:rsidR="00EE32A8" w:rsidRDefault="00000000">
            <w:pPr>
              <w:pStyle w:val="V-SynopsisBodyText"/>
            </w:pPr>
            <w:r>
              <w:t>This is a multicenter, open-label, nonrandomized Phase 1 dose-finding study of DRUG‑123 in adult patients with advanced or metastatic solid tumors, conducted in two parts:</w:t>
            </w:r>
          </w:p>
          <w:p w14:paraId="5DA98487" w14:textId="77777777" w:rsidR="00EE32A8" w:rsidRDefault="00000000" w:rsidP="005C24FA">
            <w:pPr>
              <w:pStyle w:val="V-SynopsisBullet1"/>
            </w:pPr>
            <w:r>
              <w:t>Part 1 (Dose Finding): determines the maximum tolerated dose (MTD) and/or the recommended Phase 2 dose (RP2D) of DRUG‑123 using an accelerated-titration-then-3+3 enrollment schema.</w:t>
            </w:r>
          </w:p>
          <w:p w14:paraId="4B4E1099" w14:textId="77777777" w:rsidR="00EE32A8" w:rsidRPr="005C24FA" w:rsidRDefault="00000000" w:rsidP="005C24FA">
            <w:pPr>
              <w:pStyle w:val="V-SynopsisBullet1"/>
            </w:pPr>
            <w:r>
              <w:t>Part 2 (Dose Expansion): further evaluates the safety, tolerability, pharmacokinetics (PK), immunogenicity, and antitumor activity of DRUG‑123 at the RP2D in expansion cohorts.</w:t>
            </w:r>
          </w:p>
          <w:p w14:paraId="0CDFAA75" w14:textId="77777777" w:rsidR="00EE32A8" w:rsidRDefault="00000000" w:rsidP="006B2E81">
            <w:pPr>
              <w:pStyle w:val="V-SynopsisHeading2"/>
            </w:pPr>
            <w:r>
              <w:t>Part 1. Dose Finding</w:t>
            </w:r>
          </w:p>
          <w:p w14:paraId="7B9AFB0E" w14:textId="7761B978" w:rsidR="00EE32A8" w:rsidRDefault="00000000">
            <w:pPr>
              <w:pStyle w:val="V-SynopsisBodyText"/>
            </w:pPr>
            <w:r>
              <w:t xml:space="preserve">Dose escalation begins with an accelerated titration phase: single-patient cohorts are enrolled, one DLT-evaluable patient per dose level, with dose increments of approximately one half-log between levels. The accelerated phase continues until the first dose-limiting toxicity (DLT) is observed during the DLT observation window, or dose level 3 </w:t>
            </w:r>
            <w:r w:rsidR="00BA20DE">
              <w:t xml:space="preserve">(DL3) </w:t>
            </w:r>
            <w:r>
              <w:t>is reached, whichever occurs first. At that point</w:t>
            </w:r>
            <w:r w:rsidR="00BA20DE">
              <w:t>,</w:t>
            </w:r>
            <w:r>
              <w:t xml:space="preserve"> </w:t>
            </w:r>
            <w:r w:rsidR="00B15397">
              <w:t xml:space="preserve">enrollment will switch to a </w:t>
            </w:r>
            <w:r>
              <w:t>3+3</w:t>
            </w:r>
            <w:r w:rsidR="00544739">
              <w:t xml:space="preserve"> schema described below. </w:t>
            </w:r>
            <w:r>
              <w:t>Three</w:t>
            </w:r>
            <w:r w:rsidR="00544739">
              <w:t xml:space="preserve"> (3)</w:t>
            </w:r>
            <w:r>
              <w:t xml:space="preserve"> dose levels are planned</w:t>
            </w:r>
            <w:r w:rsidR="00544739">
              <w:t xml:space="preserve">. </w:t>
            </w:r>
            <w:r>
              <w:t xml:space="preserve">intermediate or lower levels may be evaluated on the recommendation of the Safety Review Committee </w:t>
            </w:r>
            <w:r w:rsidR="00544739">
              <w:t>(</w:t>
            </w:r>
            <w:r>
              <w:t>SRC):</w:t>
            </w:r>
          </w:p>
          <w:p w14:paraId="039E3CE7" w14:textId="4899F44C" w:rsidR="00780E4E" w:rsidRDefault="00BA20DE" w:rsidP="00BA20DE">
            <w:pPr>
              <w:pStyle w:val="V-SynopsisBodyText"/>
              <w:tabs>
                <w:tab w:val="left" w:pos="1059"/>
              </w:tabs>
              <w:ind w:left="1080" w:hanging="1080"/>
            </w:pPr>
            <w:r w:rsidRPr="00BA20DE">
              <w:rPr>
                <w:b/>
                <w:bCs/>
              </w:rPr>
              <w:t>Table S-1:</w:t>
            </w:r>
            <w:r>
              <w:rPr>
                <w:b/>
                <w:bCs/>
              </w:rPr>
              <w:t xml:space="preserve"> </w:t>
            </w:r>
            <w:r w:rsidRPr="00BA20DE">
              <w:rPr>
                <w:b/>
                <w:bCs/>
              </w:rPr>
              <w:t>Dose Levels</w:t>
            </w:r>
            <w:r>
              <w:rPr>
                <w:b/>
                <w:bCs/>
              </w:rPr>
              <w:t xml:space="preserve"> for Dose Finding</w:t>
            </w:r>
          </w:p>
          <w:tbl>
            <w:tblPr>
              <w:tblW w:w="8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0"/>
              <w:gridCol w:w="4400"/>
            </w:tblGrid>
            <w:tr w:rsidR="00EE32A8" w14:paraId="16B3401E" w14:textId="77777777" w:rsidTr="00B57F24">
              <w:tc>
                <w:tcPr>
                  <w:tcW w:w="4400" w:type="dxa"/>
                </w:tcPr>
                <w:p w14:paraId="68932449" w14:textId="77777777" w:rsidR="00EE32A8" w:rsidRDefault="00000000">
                  <w:pPr>
                    <w:pStyle w:val="V-tableheader"/>
                  </w:pPr>
                  <w:r>
                    <w:t>Dose Level</w:t>
                  </w:r>
                </w:p>
              </w:tc>
              <w:tc>
                <w:tcPr>
                  <w:tcW w:w="4400" w:type="dxa"/>
                </w:tcPr>
                <w:p w14:paraId="6FE3F176" w14:textId="77777777" w:rsidR="00EE32A8" w:rsidRDefault="00000000">
                  <w:pPr>
                    <w:pStyle w:val="V-tableheader"/>
                  </w:pPr>
                  <w:r>
                    <w:t>Dose (oral, once daily)</w:t>
                  </w:r>
                </w:p>
              </w:tc>
            </w:tr>
            <w:tr w:rsidR="00EE32A8" w14:paraId="49D0CCCB" w14:textId="77777777" w:rsidTr="00B57F24">
              <w:tc>
                <w:tcPr>
                  <w:tcW w:w="4400" w:type="dxa"/>
                  <w:vAlign w:val="center"/>
                </w:tcPr>
                <w:p w14:paraId="75AF894D" w14:textId="77777777" w:rsidR="00EE32A8" w:rsidRDefault="00000000" w:rsidP="005D3FB6">
                  <w:pPr>
                    <w:pStyle w:val="V-tablebody"/>
                  </w:pPr>
                  <w:r>
                    <w:t>−1 (de-escalation)</w:t>
                  </w:r>
                </w:p>
              </w:tc>
              <w:tc>
                <w:tcPr>
                  <w:tcW w:w="4400" w:type="dxa"/>
                  <w:vAlign w:val="center"/>
                </w:tcPr>
                <w:p w14:paraId="6A3336F9" w14:textId="77777777" w:rsidR="00EE32A8" w:rsidRDefault="00000000" w:rsidP="005D3FB6">
                  <w:pPr>
                    <w:pStyle w:val="V-tablebody"/>
                  </w:pPr>
                  <w:r>
                    <w:t>5 mg</w:t>
                  </w:r>
                </w:p>
              </w:tc>
            </w:tr>
            <w:tr w:rsidR="00EE32A8" w14:paraId="50435140" w14:textId="77777777" w:rsidTr="00B57F24">
              <w:tc>
                <w:tcPr>
                  <w:tcW w:w="4400" w:type="dxa"/>
                  <w:vAlign w:val="center"/>
                </w:tcPr>
                <w:p w14:paraId="6A4D5585" w14:textId="77777777" w:rsidR="00EE32A8" w:rsidRPr="005C24FA" w:rsidRDefault="00000000" w:rsidP="005D3FB6">
                  <w:pPr>
                    <w:pStyle w:val="V-tablebody"/>
                    <w:rPr>
                      <w:b/>
                      <w:bCs/>
                    </w:rPr>
                  </w:pPr>
                  <w:r>
                    <w:rPr>
                      <w:b/>
                      <w:bCs/>
                    </w:rPr>
                    <w:t>1 (starting)</w:t>
                  </w:r>
                </w:p>
              </w:tc>
              <w:tc>
                <w:tcPr>
                  <w:tcW w:w="4400" w:type="dxa"/>
                  <w:vAlign w:val="center"/>
                </w:tcPr>
                <w:p w14:paraId="33D6BDFD" w14:textId="77777777" w:rsidR="00EE32A8" w:rsidRPr="005C24FA" w:rsidRDefault="00000000" w:rsidP="005D3FB6">
                  <w:pPr>
                    <w:pStyle w:val="V-tablebody"/>
                    <w:rPr>
                      <w:b/>
                      <w:bCs/>
                    </w:rPr>
                  </w:pPr>
                  <w:r>
                    <w:rPr>
                      <w:b/>
                      <w:bCs/>
                    </w:rPr>
                    <w:t>10 mg</w:t>
                  </w:r>
                </w:p>
              </w:tc>
            </w:tr>
            <w:tr w:rsidR="00EE32A8" w14:paraId="7C4D60EE" w14:textId="77777777" w:rsidTr="00B57F24">
              <w:tc>
                <w:tcPr>
                  <w:tcW w:w="4400" w:type="dxa"/>
                  <w:vAlign w:val="center"/>
                </w:tcPr>
                <w:p w14:paraId="4190E2E2" w14:textId="77777777" w:rsidR="00EE32A8" w:rsidRDefault="00000000" w:rsidP="005D3FB6">
                  <w:pPr>
                    <w:pStyle w:val="V-tablebody"/>
                  </w:pPr>
                  <w:r>
                    <w:t>2</w:t>
                  </w:r>
                </w:p>
              </w:tc>
              <w:tc>
                <w:tcPr>
                  <w:tcW w:w="4400" w:type="dxa"/>
                  <w:vAlign w:val="center"/>
                </w:tcPr>
                <w:p w14:paraId="6E5CE1BF" w14:textId="77777777" w:rsidR="00EE32A8" w:rsidRDefault="00000000" w:rsidP="005D3FB6">
                  <w:pPr>
                    <w:pStyle w:val="V-tablebody"/>
                  </w:pPr>
                  <w:r>
                    <w:t>20 mg</w:t>
                  </w:r>
                </w:p>
              </w:tc>
            </w:tr>
            <w:tr w:rsidR="00EE32A8" w14:paraId="460E7812" w14:textId="77777777" w:rsidTr="00B57F24">
              <w:tc>
                <w:tcPr>
                  <w:tcW w:w="4400" w:type="dxa"/>
                  <w:vAlign w:val="center"/>
                </w:tcPr>
                <w:p w14:paraId="3F8C971A" w14:textId="77777777" w:rsidR="00EE32A8" w:rsidRDefault="00000000" w:rsidP="005D3FB6">
                  <w:pPr>
                    <w:pStyle w:val="V-tablebody"/>
                  </w:pPr>
                  <w:r>
                    <w:t>3</w:t>
                  </w:r>
                </w:p>
              </w:tc>
              <w:tc>
                <w:tcPr>
                  <w:tcW w:w="4400" w:type="dxa"/>
                  <w:vAlign w:val="center"/>
                </w:tcPr>
                <w:p w14:paraId="0F8D980A" w14:textId="77777777" w:rsidR="00EE32A8" w:rsidRDefault="00000000" w:rsidP="005D3FB6">
                  <w:pPr>
                    <w:pStyle w:val="V-tablebody"/>
                  </w:pPr>
                  <w:r>
                    <w:t>40 mg</w:t>
                  </w:r>
                </w:p>
              </w:tc>
            </w:tr>
          </w:tbl>
          <w:p w14:paraId="34212C79" w14:textId="7A2A577B" w:rsidR="00EE32A8" w:rsidRDefault="00000000" w:rsidP="005C24FA">
            <w:pPr>
              <w:pStyle w:val="V-SynopsisBodyText"/>
              <w:keepNext/>
              <w:keepLines/>
            </w:pPr>
            <w:r>
              <w:lastRenderedPageBreak/>
              <w:t xml:space="preserve">A DLT is </w:t>
            </w:r>
            <w:r w:rsidR="00452F4D">
              <w:t xml:space="preserve">defined as </w:t>
            </w:r>
            <w:r>
              <w:t>any of the following</w:t>
            </w:r>
            <w:r w:rsidR="00452F4D">
              <w:t>:</w:t>
            </w:r>
            <w:r>
              <w:t xml:space="preserve"> AEs or clinically significant laboratory abnormalities occurring during the DLT observation window (the first 28 days, Cycle 1) and considered related to DRUG‑123:</w:t>
            </w:r>
          </w:p>
          <w:p w14:paraId="77B3E0F1" w14:textId="77777777" w:rsidR="00EE32A8" w:rsidRDefault="00000000" w:rsidP="005C24FA">
            <w:pPr>
              <w:pStyle w:val="V-SynopsisBullet1"/>
              <w:keepNext/>
              <w:keepLines/>
            </w:pPr>
            <w:r>
              <w:t>Any Grade 4 non-hematologic toxicity, or Grade 3 non-hematologic toxicity lasting more than 3 days despite optimal supportive care, including severe allergic reaction or anaphylaxis, except:</w:t>
            </w:r>
          </w:p>
          <w:p w14:paraId="4AC9663A" w14:textId="77777777" w:rsidR="00EE32A8" w:rsidRDefault="005C24FA" w:rsidP="005C24FA">
            <w:pPr>
              <w:pStyle w:val="V-SynopsisBullet2"/>
              <w:keepNext/>
              <w:keepLines/>
            </w:pPr>
            <w:r>
              <w:t>Vomiting or nausea controlled by medical management (≥ Grade 3 despite optimal management is a DLT);</w:t>
            </w:r>
          </w:p>
          <w:p w14:paraId="2B638F78" w14:textId="77777777" w:rsidR="00EE32A8" w:rsidRDefault="00000000" w:rsidP="005C24FA">
            <w:pPr>
              <w:pStyle w:val="V-SynopsisBullet2"/>
              <w:keepNext/>
              <w:keepLines/>
            </w:pPr>
            <w:r>
              <w:t>Grade 3 diarrhea, nausea, or vomiting that responds to appropriate intervention within 3 days (recovers to ≤ Grade 2);</w:t>
            </w:r>
          </w:p>
          <w:p w14:paraId="2583C49D" w14:textId="77777777" w:rsidR="00EE32A8" w:rsidRDefault="005C24FA" w:rsidP="005C24FA">
            <w:pPr>
              <w:pStyle w:val="V-SynopsisBullet2"/>
              <w:keepNext/>
              <w:keepLines/>
            </w:pPr>
            <w:r>
              <w:t>A transient Grade 3–4 electrolyte abnormality that is asymptomatic and resolves within 3 days;</w:t>
            </w:r>
          </w:p>
          <w:p w14:paraId="4B1A8297" w14:textId="77777777" w:rsidR="00EE32A8" w:rsidRDefault="005C24FA">
            <w:pPr>
              <w:pStyle w:val="V-SynopsisBullet2"/>
            </w:pPr>
            <w:r>
              <w:t>A Grade 3 clinical-laboratory AE that is asymptomatic and rapidly reversible (returns to baseline or ≤ Grade 2 within 3 days).</w:t>
            </w:r>
          </w:p>
          <w:p w14:paraId="5310C69A" w14:textId="77777777" w:rsidR="00EE32A8" w:rsidRDefault="00000000" w:rsidP="005C24FA">
            <w:pPr>
              <w:pStyle w:val="V-SynopsisBullet1"/>
            </w:pPr>
            <w:r>
              <w:t xml:space="preserve">Grade 3 or Grade 4 febrile neutropenia lasting more than 3 days despite optimal supportive care. </w:t>
            </w:r>
          </w:p>
          <w:p w14:paraId="459FE36D" w14:textId="77777777" w:rsidR="00EE32A8" w:rsidRDefault="00000000" w:rsidP="005C24FA">
            <w:pPr>
              <w:pStyle w:val="V-SynopsisBullet1"/>
            </w:pPr>
            <w:r>
              <w:t>Grade 4 hematologic toxicity lasting ≥ 7 days, or Grade 4 thrombocytopenia (platelet count below 25,000/mm3) associated with clinically significant bleeding, not attributable to underlying disease.</w:t>
            </w:r>
          </w:p>
          <w:p w14:paraId="21E4B281" w14:textId="77777777" w:rsidR="00EE32A8" w:rsidRDefault="00000000" w:rsidP="005C24FA">
            <w:pPr>
              <w:pStyle w:val="V-SynopsisBullet1"/>
            </w:pPr>
            <w:r>
              <w:t>Any medically important AE of any grade, as assessed by the SRC.</w:t>
            </w:r>
          </w:p>
          <w:p w14:paraId="5DA0B389" w14:textId="1914B3F8" w:rsidR="00EE32A8" w:rsidRDefault="00000000">
            <w:pPr>
              <w:pStyle w:val="V-SynopsisBodyText"/>
            </w:pPr>
            <w:r>
              <w:t>After conversion to the 3+3, dose escalation proceeds according to the following schema:</w:t>
            </w:r>
          </w:p>
          <w:tbl>
            <w:tblPr>
              <w:tblW w:w="8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0"/>
              <w:gridCol w:w="4400"/>
            </w:tblGrid>
            <w:tr w:rsidR="00EE32A8" w14:paraId="7C1EB29D" w14:textId="77777777" w:rsidTr="00B57F24">
              <w:tc>
                <w:tcPr>
                  <w:tcW w:w="4400" w:type="dxa"/>
                </w:tcPr>
                <w:p w14:paraId="79148334" w14:textId="77777777" w:rsidR="00EE32A8" w:rsidRDefault="00000000">
                  <w:pPr>
                    <w:pStyle w:val="V-tableheader"/>
                  </w:pPr>
                  <w:r>
                    <w:t>Phase / Result</w:t>
                  </w:r>
                </w:p>
              </w:tc>
              <w:tc>
                <w:tcPr>
                  <w:tcW w:w="4400" w:type="dxa"/>
                </w:tcPr>
                <w:p w14:paraId="22FA6C6F" w14:textId="77777777" w:rsidR="00EE32A8" w:rsidRDefault="00000000">
                  <w:pPr>
                    <w:pStyle w:val="V-tableheader"/>
                  </w:pPr>
                  <w:r>
                    <w:t>Action</w:t>
                  </w:r>
                </w:p>
              </w:tc>
            </w:tr>
            <w:tr w:rsidR="00EE32A8" w14:paraId="1136756B" w14:textId="77777777" w:rsidTr="00B57F24">
              <w:tc>
                <w:tcPr>
                  <w:tcW w:w="4400" w:type="dxa"/>
                </w:tcPr>
                <w:p w14:paraId="40B73E80" w14:textId="77777777" w:rsidR="00EE32A8" w:rsidRDefault="00000000">
                  <w:pPr>
                    <w:pStyle w:val="V-tablebody"/>
                    <w:jc w:val="left"/>
                  </w:pPr>
                  <w:r>
                    <w:t>Accelerated titration: 0 DLTs in the single patient at dose level X (and dose level 3 not yet reached)</w:t>
                  </w:r>
                </w:p>
              </w:tc>
              <w:tc>
                <w:tcPr>
                  <w:tcW w:w="4400" w:type="dxa"/>
                </w:tcPr>
                <w:p w14:paraId="50E58BF1" w14:textId="77777777" w:rsidR="00EE32A8" w:rsidRDefault="00000000">
                  <w:pPr>
                    <w:pStyle w:val="V-tablebody"/>
                    <w:jc w:val="left"/>
                  </w:pPr>
                  <w:r>
                    <w:t>Escalate to dose level X + 1 (one new patient)</w:t>
                  </w:r>
                </w:p>
              </w:tc>
            </w:tr>
            <w:tr w:rsidR="00EE32A8" w14:paraId="524798EB" w14:textId="77777777" w:rsidTr="00B57F24">
              <w:tc>
                <w:tcPr>
                  <w:tcW w:w="4400" w:type="dxa"/>
                </w:tcPr>
                <w:p w14:paraId="71434DAE" w14:textId="77777777" w:rsidR="00EE32A8" w:rsidRDefault="00000000">
                  <w:pPr>
                    <w:pStyle w:val="V-tablebody"/>
                    <w:jc w:val="left"/>
                  </w:pPr>
                  <w:r>
                    <w:t>First DLT observed at any dose level, or dose level 3 reached</w:t>
                  </w:r>
                </w:p>
              </w:tc>
              <w:tc>
                <w:tcPr>
                  <w:tcW w:w="4400" w:type="dxa"/>
                </w:tcPr>
                <w:p w14:paraId="3E07F4D0" w14:textId="77777777" w:rsidR="00EE32A8" w:rsidRDefault="00000000">
                  <w:pPr>
                    <w:pStyle w:val="V-tablebody"/>
                    <w:jc w:val="left"/>
                  </w:pPr>
                  <w:r>
                    <w:t>Convert to the standard 3+3 at the current dose level (expand to 3 patients)</w:t>
                  </w:r>
                </w:p>
              </w:tc>
            </w:tr>
            <w:tr w:rsidR="00EE32A8" w14:paraId="0C3C1602" w14:textId="77777777" w:rsidTr="00B57F24">
              <w:tc>
                <w:tcPr>
                  <w:tcW w:w="4400" w:type="dxa"/>
                </w:tcPr>
                <w:p w14:paraId="1FC2428B" w14:textId="4A48E133" w:rsidR="00EE32A8" w:rsidRDefault="00000000">
                  <w:pPr>
                    <w:pStyle w:val="V-tablebody"/>
                    <w:jc w:val="left"/>
                  </w:pPr>
                  <w:r>
                    <w:t>0/3 patients with a DLT at dose level X, or ≤ 1/6 patients with a DLT</w:t>
                  </w:r>
                </w:p>
              </w:tc>
              <w:tc>
                <w:tcPr>
                  <w:tcW w:w="4400" w:type="dxa"/>
                </w:tcPr>
                <w:p w14:paraId="7A7F99CC" w14:textId="77777777" w:rsidR="00EE32A8" w:rsidRDefault="00000000">
                  <w:pPr>
                    <w:pStyle w:val="V-tablebody"/>
                    <w:jc w:val="left"/>
                  </w:pPr>
                  <w:r>
                    <w:t>Escalate to dose level X + 1</w:t>
                  </w:r>
                </w:p>
              </w:tc>
            </w:tr>
            <w:tr w:rsidR="00EE32A8" w14:paraId="3F242153" w14:textId="77777777" w:rsidTr="00B57F24">
              <w:tc>
                <w:tcPr>
                  <w:tcW w:w="4400" w:type="dxa"/>
                </w:tcPr>
                <w:p w14:paraId="7824F79B" w14:textId="68F42C87" w:rsidR="00EE32A8" w:rsidRDefault="00000000">
                  <w:pPr>
                    <w:pStyle w:val="V-tablebody"/>
                    <w:jc w:val="left"/>
                  </w:pPr>
                  <w:r>
                    <w:t>1/3 patients with a DLT</w:t>
                  </w:r>
                </w:p>
              </w:tc>
              <w:tc>
                <w:tcPr>
                  <w:tcW w:w="4400" w:type="dxa"/>
                </w:tcPr>
                <w:p w14:paraId="3D3BEDF2" w14:textId="77777777" w:rsidR="00EE32A8" w:rsidRDefault="00000000">
                  <w:pPr>
                    <w:pStyle w:val="V-tablebody"/>
                    <w:jc w:val="left"/>
                  </w:pPr>
                  <w:r>
                    <w:t>Enroll 3 additional patients at dose level X</w:t>
                  </w:r>
                </w:p>
              </w:tc>
            </w:tr>
            <w:tr w:rsidR="00EE32A8" w14:paraId="5A7A7B61" w14:textId="77777777" w:rsidTr="00B57F24">
              <w:tc>
                <w:tcPr>
                  <w:tcW w:w="4400" w:type="dxa"/>
                </w:tcPr>
                <w:p w14:paraId="681F40C5" w14:textId="7A5D306C" w:rsidR="00EE32A8" w:rsidRDefault="00000000">
                  <w:pPr>
                    <w:pStyle w:val="V-tablebody"/>
                    <w:jc w:val="left"/>
                  </w:pPr>
                  <w:r>
                    <w:t>≥ 2/6 patients with a DLT</w:t>
                  </w:r>
                </w:p>
              </w:tc>
              <w:tc>
                <w:tcPr>
                  <w:tcW w:w="4400" w:type="dxa"/>
                </w:tcPr>
                <w:p w14:paraId="1204BAAF" w14:textId="77777777" w:rsidR="00EE32A8" w:rsidRDefault="00000000">
                  <w:pPr>
                    <w:pStyle w:val="V-tablebody"/>
                    <w:jc w:val="left"/>
                  </w:pPr>
                  <w:r>
                    <w:t>Dose level X − 1 is the MTD</w:t>
                  </w:r>
                </w:p>
              </w:tc>
            </w:tr>
          </w:tbl>
          <w:p w14:paraId="27DC0DBC" w14:textId="77777777" w:rsidR="00EE32A8" w:rsidRDefault="00000000" w:rsidP="00BA20DE">
            <w:pPr>
              <w:pStyle w:val="V-SynopsisBodyText"/>
              <w:spacing w:before="120"/>
            </w:pPr>
            <w:r>
              <w:t>The highest dose level that produces ≤ 1 of 6 DLTs is defined as the MTD. The MTD is generally the RP2D unless a clinically significant antitumor effect, failure to reach an MTD, or toxicities observed beyond Cycle 1 indicate an RP2D below the MTD.</w:t>
            </w:r>
          </w:p>
          <w:p w14:paraId="4007A270" w14:textId="77777777" w:rsidR="00EE32A8" w:rsidRPr="005C24FA" w:rsidRDefault="00000000" w:rsidP="006B2E81">
            <w:pPr>
              <w:pStyle w:val="V-SynopsisHeading2"/>
            </w:pPr>
            <w:r>
              <w:t>Study Treatments</w:t>
            </w:r>
          </w:p>
          <w:p w14:paraId="7FEF84EA" w14:textId="18D848C4" w:rsidR="00EE32A8" w:rsidRDefault="00000000">
            <w:pPr>
              <w:pStyle w:val="V-SynopsisBodyText"/>
            </w:pPr>
            <w:r>
              <w:t xml:space="preserve">DRUG‑123 is administered </w:t>
            </w:r>
            <w:r w:rsidR="00544739">
              <w:t>PO QD</w:t>
            </w:r>
            <w:r>
              <w:t xml:space="preserve"> in 28-day cycles at the dose level assigned to the patient. </w:t>
            </w:r>
            <w:r w:rsidR="00544739">
              <w:t>Study treatment will continue</w:t>
            </w:r>
            <w:r>
              <w:t xml:space="preserve"> until disease progression, unacceptable toxicity, withdrawal of consent, initiation of subsequent anticancer therapy, or another protocol-defined criterion for discontinuation is met (Section 7.1).</w:t>
            </w:r>
          </w:p>
          <w:p w14:paraId="22CB0A3B" w14:textId="3CBE482C" w:rsidR="00EE32A8" w:rsidRDefault="00000000">
            <w:pPr>
              <w:pStyle w:val="V-SynopsisBodyText"/>
            </w:pPr>
            <w:r>
              <w:t>Doses are taken at approximately the same time each day. Dose interruptions and reductions for toxicity follow the protocol-specified dose-modification rules</w:t>
            </w:r>
            <w:r w:rsidR="00544739">
              <w:t xml:space="preserve"> (Section </w:t>
            </w:r>
            <w:r w:rsidR="00B15397">
              <w:fldChar w:fldCharType="begin"/>
            </w:r>
            <w:r w:rsidR="00B15397">
              <w:instrText xml:space="preserve"> REF _Ref233796023 \n \h </w:instrText>
            </w:r>
            <w:r w:rsidR="00B15397">
              <w:fldChar w:fldCharType="separate"/>
            </w:r>
            <w:r w:rsidR="00272496" w:rsidRPr="00272496">
              <w:rPr>
                <w:color w:val="0000FF"/>
              </w:rPr>
              <w:t>6.5</w:t>
            </w:r>
            <w:r w:rsidR="00B15397">
              <w:fldChar w:fldCharType="end"/>
            </w:r>
            <w:r w:rsidR="00544739">
              <w:t>)</w:t>
            </w:r>
            <w:r>
              <w:t>.</w:t>
            </w:r>
          </w:p>
          <w:p w14:paraId="6254519F" w14:textId="77777777" w:rsidR="00EE32A8" w:rsidRPr="006B2E81" w:rsidRDefault="00000000" w:rsidP="006B2E81">
            <w:pPr>
              <w:pStyle w:val="V-SynopsisHeading2"/>
            </w:pPr>
            <w:r>
              <w:t>Safety Monitoring</w:t>
            </w:r>
          </w:p>
          <w:p w14:paraId="57CC38F2" w14:textId="20C3237C" w:rsidR="00EE32A8" w:rsidRDefault="00000000">
            <w:pPr>
              <w:pStyle w:val="V-SynopsisBodyText"/>
            </w:pPr>
            <w:r>
              <w:t>Throughout the study, safety oversight is provided by the SRC, comprising the Investigator and Sponsor physicians. The SRC operates under a written charter; its responsibilities include the following:</w:t>
            </w:r>
          </w:p>
          <w:p w14:paraId="50B1833D" w14:textId="79352116" w:rsidR="00EE32A8" w:rsidRDefault="00544739" w:rsidP="005C24FA">
            <w:pPr>
              <w:pStyle w:val="V-SynopsisBullet1"/>
            </w:pPr>
            <w:r>
              <w:t>Reviewing cumulative safety data and adjudicating DLTs</w:t>
            </w:r>
          </w:p>
          <w:p w14:paraId="4504A782" w14:textId="16D503AF" w:rsidR="00EE32A8" w:rsidRDefault="00544739" w:rsidP="005C24FA">
            <w:pPr>
              <w:pStyle w:val="V-SynopsisBullet1"/>
            </w:pPr>
            <w:r>
              <w:t>Recommending the dose level of DRUG‑123 for doses beyond the starting dose level</w:t>
            </w:r>
          </w:p>
          <w:p w14:paraId="5E9AF2BA" w14:textId="205E5233" w:rsidR="00EE32A8" w:rsidRDefault="00544739" w:rsidP="005C24FA">
            <w:pPr>
              <w:pStyle w:val="V-SynopsisBullet1"/>
            </w:pPr>
            <w:r>
              <w:t>Determining cohort dose-escalation and de-escalation decisions during Part 1 (Dose Finding)</w:t>
            </w:r>
          </w:p>
          <w:p w14:paraId="795EB4DD" w14:textId="1DF0DD10" w:rsidR="00EE32A8" w:rsidRDefault="00544739" w:rsidP="005C24FA">
            <w:pPr>
              <w:pStyle w:val="V-SynopsisBullet1"/>
            </w:pPr>
            <w:r>
              <w:t>Adding patients to a cohort at the same dose level to further characterize safety signals</w:t>
            </w:r>
          </w:p>
          <w:p w14:paraId="414D86AF" w14:textId="79B71C75" w:rsidR="00EE32A8" w:rsidRDefault="00544739" w:rsidP="005C24FA">
            <w:pPr>
              <w:pStyle w:val="V-SynopsisBullet1"/>
            </w:pPr>
            <w:r>
              <w:t>Recommending the RP2D for Part 2 (Dose Expansion)</w:t>
            </w:r>
          </w:p>
          <w:p w14:paraId="5634BFEA" w14:textId="34644F4C" w:rsidR="00EE32A8" w:rsidRDefault="00544739" w:rsidP="005C24FA">
            <w:pPr>
              <w:pStyle w:val="V-SynopsisBullet1"/>
            </w:pPr>
            <w:r>
              <w:t>Monitoring safety during Part 2 and recommending study pause or closure as necessary.</w:t>
            </w:r>
          </w:p>
          <w:p w14:paraId="5CB78E9D" w14:textId="53F10C57" w:rsidR="00EE32A8" w:rsidRDefault="00000000">
            <w:pPr>
              <w:pStyle w:val="V-SynopsisBodyText"/>
            </w:pPr>
            <w:r>
              <w:t>The decision to open additional expansion cohorts is made by the Sponsor based on the SRC’s recommendation.</w:t>
            </w:r>
          </w:p>
        </w:tc>
      </w:tr>
      <w:tr w:rsidR="00FF0884" w14:paraId="568A4CDF" w14:textId="77777777" w:rsidTr="00B57F24">
        <w:tc>
          <w:tcPr>
            <w:tcW w:w="5000" w:type="pct"/>
          </w:tcPr>
          <w:p w14:paraId="224BA203" w14:textId="77777777" w:rsidR="00FF0884" w:rsidRDefault="00000000" w:rsidP="00780E4E">
            <w:pPr>
              <w:pStyle w:val="V-tablerowheader"/>
              <w:keepNext/>
              <w:keepLines/>
            </w:pPr>
            <w:r>
              <w:lastRenderedPageBreak/>
              <w:t>Study Objectives and Endpoints: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4860"/>
            </w:tblGrid>
            <w:tr w:rsidR="00FF0884" w14:paraId="5501E421" w14:textId="77777777" w:rsidTr="00B57F24">
              <w:tc>
                <w:tcPr>
                  <w:tcW w:w="2250" w:type="dxa"/>
                </w:tcPr>
                <w:p w14:paraId="4A930882" w14:textId="77777777" w:rsidR="00FF0884" w:rsidRDefault="00000000" w:rsidP="00780E4E">
                  <w:pPr>
                    <w:pStyle w:val="V-tablerowheader"/>
                    <w:keepNext/>
                    <w:keepLines/>
                  </w:pPr>
                  <w:r>
                    <w:t>Objectives</w:t>
                  </w:r>
                </w:p>
              </w:tc>
              <w:tc>
                <w:tcPr>
                  <w:tcW w:w="2430" w:type="dxa"/>
                </w:tcPr>
                <w:p w14:paraId="05BA3EA5" w14:textId="77777777" w:rsidR="00FF0884" w:rsidRDefault="00000000" w:rsidP="00780E4E">
                  <w:pPr>
                    <w:pStyle w:val="V-tablerowheader"/>
                    <w:keepNext/>
                    <w:keepLines/>
                  </w:pPr>
                  <w:r>
                    <w:t>Endpoints</w:t>
                  </w:r>
                </w:p>
              </w:tc>
            </w:tr>
            <w:tr w:rsidR="00FF0884" w14:paraId="58CB4930" w14:textId="77777777" w:rsidTr="00B57F24">
              <w:tc>
                <w:tcPr>
                  <w:tcW w:w="4680" w:type="dxa"/>
                  <w:gridSpan w:val="2"/>
                </w:tcPr>
                <w:p w14:paraId="4499BBED" w14:textId="77777777" w:rsidR="00FF0884" w:rsidRDefault="00000000" w:rsidP="00780E4E">
                  <w:pPr>
                    <w:pStyle w:val="V-tablerowheader"/>
                    <w:keepNext/>
                    <w:keepLines/>
                  </w:pPr>
                  <w:r>
                    <w:t>Primary</w:t>
                  </w:r>
                </w:p>
              </w:tc>
            </w:tr>
            <w:tr w:rsidR="00FF0884" w14:paraId="6B299226" w14:textId="77777777" w:rsidTr="00B57F24">
              <w:tc>
                <w:tcPr>
                  <w:tcW w:w="2250" w:type="dxa"/>
                </w:tcPr>
                <w:p w14:paraId="09C3AB54" w14:textId="77777777" w:rsidR="00FF0884" w:rsidRPr="005C24FA" w:rsidRDefault="00000000" w:rsidP="00452F4D">
                  <w:pPr>
                    <w:pStyle w:val="V-tablebullet1"/>
                  </w:pPr>
                  <w:r>
                    <w:t>To evaluate the safety and tolerability of DRUG‑123 and to determine the maximum tolerated dose (MTD) and/or the recommended Phase 2 dose (RP2D).</w:t>
                  </w:r>
                </w:p>
              </w:tc>
              <w:tc>
                <w:tcPr>
                  <w:tcW w:w="2430" w:type="dxa"/>
                </w:tcPr>
                <w:p w14:paraId="329076C8" w14:textId="77777777" w:rsidR="00FF0884" w:rsidRPr="009E1D67" w:rsidRDefault="00000000" w:rsidP="005C24FA">
                  <w:pPr>
                    <w:pStyle w:val="V-tablebullet2"/>
                    <w:keepNext/>
                    <w:keepLines/>
                  </w:pPr>
                  <w:r>
                    <w:t>Incidence of adverse events (AEs), dose-limiting toxicities (DLTs), and clinically significant laboratory abnormalities</w:t>
                  </w:r>
                </w:p>
              </w:tc>
            </w:tr>
            <w:tr w:rsidR="00FF0884" w14:paraId="75395DF1" w14:textId="77777777" w:rsidTr="00B57F24">
              <w:tc>
                <w:tcPr>
                  <w:tcW w:w="4680" w:type="dxa"/>
                  <w:gridSpan w:val="2"/>
                </w:tcPr>
                <w:p w14:paraId="34D89E30" w14:textId="77777777" w:rsidR="00FF0884" w:rsidRDefault="00000000">
                  <w:pPr>
                    <w:pStyle w:val="V-tablerowheader"/>
                  </w:pPr>
                  <w:r>
                    <w:t>Secondary</w:t>
                  </w:r>
                </w:p>
              </w:tc>
            </w:tr>
            <w:tr w:rsidR="00FF0884" w14:paraId="20EC89E0" w14:textId="77777777" w:rsidTr="00B57F24">
              <w:tc>
                <w:tcPr>
                  <w:tcW w:w="2250" w:type="dxa"/>
                </w:tcPr>
                <w:p w14:paraId="34D5E3D5" w14:textId="77777777" w:rsidR="00780E4E" w:rsidRPr="005C24FA" w:rsidRDefault="00000000" w:rsidP="00452F4D">
                  <w:pPr>
                    <w:pStyle w:val="V-tablebullet1"/>
                  </w:pPr>
                  <w:r>
                    <w:t>Characterize the pharmacokinetics (PK) of DRUG‑123 after single and repeat dosing</w:t>
                  </w:r>
                </w:p>
                <w:p w14:paraId="0C9230D5" w14:textId="77777777" w:rsidR="00FF0884" w:rsidRDefault="00780E4E" w:rsidP="00452F4D">
                  <w:pPr>
                    <w:pStyle w:val="V-tablebullet1"/>
                  </w:pPr>
                  <w:r>
                    <w:t>Evaluate antitumor activity</w:t>
                  </w:r>
                </w:p>
              </w:tc>
              <w:tc>
                <w:tcPr>
                  <w:tcW w:w="2430" w:type="dxa"/>
                </w:tcPr>
                <w:p w14:paraId="5F6815AC" w14:textId="77777777" w:rsidR="00780E4E" w:rsidRDefault="00000000" w:rsidP="005C24FA">
                  <w:pPr>
                    <w:pStyle w:val="V-tablebullet2"/>
                  </w:pPr>
                  <w:r>
                    <w:t>Pharmacokinetic parameters of DRUG‑123 including but not limited to: maximum concentration (C</w:t>
                  </w:r>
                  <w:r>
                    <w:rPr>
                      <w:vertAlign w:val="subscript"/>
                    </w:rPr>
                    <w:t>max</w:t>
                  </w:r>
                  <w:r>
                    <w:t>), time-of-maximum concentration (T</w:t>
                  </w:r>
                  <w:r>
                    <w:rPr>
                      <w:vertAlign w:val="subscript"/>
                    </w:rPr>
                    <w:t>max</w:t>
                  </w:r>
                  <w:r>
                    <w:t xml:space="preserve">), area under the concentration-time curve (AUC) </w:t>
                  </w:r>
                </w:p>
                <w:p w14:paraId="37144D76" w14:textId="77777777" w:rsidR="00FF0884" w:rsidRDefault="00780E4E" w:rsidP="005C24FA">
                  <w:pPr>
                    <w:pStyle w:val="V-tablebullet2"/>
                  </w:pPr>
                  <w:r>
                    <w:t xml:space="preserve">Antitumor response measurements will include response rates (objective response rate [ORR], complete and partial response [CR and PR], time-to-first response, time-to-best response, duration of response, event-free survival, progression-free survival (PFS), overall survival (OS) </w:t>
                  </w:r>
                </w:p>
              </w:tc>
            </w:tr>
            <w:tr w:rsidR="00FF0884" w14:paraId="0E4F1B13" w14:textId="77777777" w:rsidTr="00B57F24">
              <w:tc>
                <w:tcPr>
                  <w:tcW w:w="4680" w:type="dxa"/>
                  <w:gridSpan w:val="2"/>
                </w:tcPr>
                <w:p w14:paraId="2D722055" w14:textId="77777777" w:rsidR="00FF0884" w:rsidRDefault="00000000">
                  <w:pPr>
                    <w:pStyle w:val="V-tablerowheader"/>
                  </w:pPr>
                  <w:r>
                    <w:t>Exploratory</w:t>
                  </w:r>
                </w:p>
              </w:tc>
            </w:tr>
            <w:tr w:rsidR="00FF0884" w14:paraId="7921725F" w14:textId="77777777" w:rsidTr="00B57F24">
              <w:tc>
                <w:tcPr>
                  <w:tcW w:w="2250" w:type="dxa"/>
                </w:tcPr>
                <w:p w14:paraId="0BCE523E" w14:textId="77777777" w:rsidR="00FF0884" w:rsidRPr="005C24FA" w:rsidRDefault="00000000" w:rsidP="00452F4D">
                  <w:pPr>
                    <w:pStyle w:val="V-tablebullet1"/>
                  </w:pPr>
                  <w:r>
                    <w:t>Evaluate the relationship between exposure and response and candidate pharmacodynamic or predictive biomarkers.</w:t>
                  </w:r>
                </w:p>
              </w:tc>
              <w:tc>
                <w:tcPr>
                  <w:tcW w:w="2430" w:type="dxa"/>
                </w:tcPr>
                <w:p w14:paraId="0535B9B1" w14:textId="77777777" w:rsidR="00FF0884" w:rsidRDefault="00000000" w:rsidP="005C24FA">
                  <w:pPr>
                    <w:pStyle w:val="V-tablebullet2"/>
                  </w:pPr>
                  <w:r>
                    <w:t>Exposure-response relationships for safety and activity; target alteration in tumor tissue and/or circulating tumor DNA and other candidate biomarkers.</w:t>
                  </w:r>
                </w:p>
              </w:tc>
            </w:tr>
          </w:tbl>
          <w:p w14:paraId="132D93C3" w14:textId="77777777" w:rsidR="00FF0884" w:rsidRDefault="00FF0884">
            <w:pPr>
              <w:pStyle w:val="V-Example"/>
            </w:pPr>
          </w:p>
        </w:tc>
      </w:tr>
      <w:tr w:rsidR="00FF0884" w14:paraId="741832BE" w14:textId="77777777" w:rsidTr="00B57F24">
        <w:tc>
          <w:tcPr>
            <w:tcW w:w="5000" w:type="pct"/>
          </w:tcPr>
          <w:p w14:paraId="12B3E739" w14:textId="7A1D874C" w:rsidR="00FF0884" w:rsidRDefault="00B15397">
            <w:pPr>
              <w:pStyle w:val="V-tablerowheader"/>
            </w:pPr>
            <w:r>
              <w:t>Test Product, Dose, and Route of Administration:</w:t>
            </w:r>
          </w:p>
          <w:p w14:paraId="1ABA31E1" w14:textId="689CC939" w:rsidR="00FF0884" w:rsidRPr="00DD6CD6" w:rsidRDefault="00000000" w:rsidP="00C062CF">
            <w:pPr>
              <w:pStyle w:val="V-SynopsisBodyText"/>
            </w:pPr>
            <w:r>
              <w:t xml:space="preserve">DRUG‑123 </w:t>
            </w:r>
            <w:r w:rsidR="00BA20DE">
              <w:t xml:space="preserve">will be </w:t>
            </w:r>
            <w:r>
              <w:t xml:space="preserve">administered orally </w:t>
            </w:r>
            <w:r w:rsidR="00BA20DE">
              <w:t xml:space="preserve">(PO) </w:t>
            </w:r>
            <w:r>
              <w:t xml:space="preserve">once daily </w:t>
            </w:r>
            <w:r w:rsidR="00BA20DE">
              <w:t xml:space="preserve">(QD) </w:t>
            </w:r>
            <w:r>
              <w:t>in 28-day cycles at the dose level assigned to the patient</w:t>
            </w:r>
            <w:r w:rsidR="00BA20DE">
              <w:t xml:space="preserve"> from Table S-1 in dose finding and at</w:t>
            </w:r>
            <w:r>
              <w:t xml:space="preserve"> the RP2D during dose expansion.</w:t>
            </w:r>
          </w:p>
        </w:tc>
      </w:tr>
      <w:tr w:rsidR="00B15397" w:rsidDel="00B15397" w14:paraId="00F12AA2" w14:textId="77777777" w:rsidTr="00B57F24">
        <w:tc>
          <w:tcPr>
            <w:tcW w:w="5000" w:type="pct"/>
          </w:tcPr>
          <w:p w14:paraId="3EC5EC2A" w14:textId="69F469FC" w:rsidR="00B15397" w:rsidRDefault="00B15397" w:rsidP="00B15397">
            <w:pPr>
              <w:pStyle w:val="V-tablerowheader"/>
            </w:pPr>
            <w:r>
              <w:t>Reference Therapy, Dose, and Route of Administration:</w:t>
            </w:r>
          </w:p>
          <w:p w14:paraId="0C10F0C3" w14:textId="0ADD8D2D" w:rsidR="00B15397" w:rsidDel="00B15397" w:rsidRDefault="00B15397" w:rsidP="00B15397">
            <w:pPr>
              <w:pStyle w:val="V-SynopsisBodyText"/>
            </w:pPr>
            <w:r>
              <w:t>Not applicable.</w:t>
            </w:r>
          </w:p>
        </w:tc>
      </w:tr>
      <w:tr w:rsidR="00FF0884" w14:paraId="2D3EF553" w14:textId="77777777" w:rsidTr="00B57F24">
        <w:tc>
          <w:tcPr>
            <w:tcW w:w="5000" w:type="pct"/>
          </w:tcPr>
          <w:p w14:paraId="12FD0034" w14:textId="77777777" w:rsidR="00FF0884" w:rsidRDefault="00000000" w:rsidP="005D3FB6">
            <w:pPr>
              <w:pStyle w:val="V-tablerowheader"/>
              <w:keepNext/>
              <w:keepLines/>
            </w:pPr>
            <w:r>
              <w:t>Study and Treatment Duration:</w:t>
            </w:r>
          </w:p>
          <w:p w14:paraId="0EFD7A06" w14:textId="77777777" w:rsidR="00FF0884" w:rsidRDefault="00000000" w:rsidP="005D3FB6">
            <w:pPr>
              <w:pStyle w:val="V-SynopsisBodyText"/>
              <w:keepNext/>
              <w:keepLines/>
            </w:pPr>
            <w:r>
              <w:t>Each patient is followed through screening, the DLT observation window (the first 28 days, Cycle 1), continued once-daily dosing in 28-day cycles, safety follow-up, and disease follow-up with response assessments until progression, start of new therapy, or study end.</w:t>
            </w:r>
          </w:p>
        </w:tc>
      </w:tr>
      <w:tr w:rsidR="00FF0884" w14:paraId="256F800A" w14:textId="77777777" w:rsidTr="00B57F24">
        <w:tc>
          <w:tcPr>
            <w:tcW w:w="5000" w:type="pct"/>
          </w:tcPr>
          <w:p w14:paraId="63562D05" w14:textId="77777777" w:rsidR="00FF0884" w:rsidRDefault="00000000">
            <w:pPr>
              <w:pStyle w:val="V-tablerowheader"/>
            </w:pPr>
            <w:r>
              <w:t>Number of Patients (Planned):</w:t>
            </w:r>
          </w:p>
          <w:p w14:paraId="7C09F7AC" w14:textId="1E02695D" w:rsidR="00B15397" w:rsidRDefault="00B15397" w:rsidP="007F7D80">
            <w:pPr>
              <w:pStyle w:val="V-SynopsisBodyText"/>
            </w:pPr>
            <w:r>
              <w:t xml:space="preserve">Dose finding: a minimum of 3 (up to 6) DLT-evaluable patients per dose level after conversion to the 3+3. </w:t>
            </w:r>
            <w:r>
              <w:br/>
              <w:t xml:space="preserve">Dose expansion: 12 to 24 response-evaluable patients are expected to enroll. </w:t>
            </w:r>
            <w:r>
              <w:br/>
              <w:t>Approximately 18 to 50 patients are expected to enroll in total across the dose finding and dose expansion study parts.</w:t>
            </w:r>
          </w:p>
        </w:tc>
      </w:tr>
      <w:tr w:rsidR="00FF0884" w14:paraId="7099E712" w14:textId="77777777" w:rsidTr="00B57F24">
        <w:tc>
          <w:tcPr>
            <w:tcW w:w="5000" w:type="pct"/>
          </w:tcPr>
          <w:p w14:paraId="52528227" w14:textId="63AD578F" w:rsidR="007F7D80" w:rsidRDefault="007F7D80" w:rsidP="007F7D80">
            <w:pPr>
              <w:pStyle w:val="V-tablerowheader"/>
              <w:widowControl w:val="0"/>
            </w:pPr>
            <w:r>
              <w:t xml:space="preserve">Eligibility </w:t>
            </w:r>
          </w:p>
          <w:p w14:paraId="63C8A6FF" w14:textId="6F9B069C" w:rsidR="007F7D80" w:rsidRPr="007F7D80" w:rsidRDefault="007F7D80" w:rsidP="007F7D80">
            <w:pPr>
              <w:pStyle w:val="V-tablerowheader"/>
              <w:widowControl w:val="0"/>
              <w:rPr>
                <w:b w:val="0"/>
                <w:bCs w:val="0"/>
              </w:rPr>
            </w:pPr>
            <w:r>
              <w:rPr>
                <w:b w:val="0"/>
                <w:bCs w:val="0"/>
              </w:rPr>
              <w:t xml:space="preserve">To be eligible to participate in this study, an individual must meet all of the inclusion criteria and none of the exclusion criteria. </w:t>
            </w:r>
          </w:p>
          <w:p w14:paraId="418FD188" w14:textId="069D8374" w:rsidR="00FF0884" w:rsidRDefault="00000000" w:rsidP="007F7D80">
            <w:pPr>
              <w:pStyle w:val="V-tablerowheader"/>
              <w:widowControl w:val="0"/>
            </w:pPr>
            <w:r>
              <w:t>Inclusion Criteria:</w:t>
            </w:r>
          </w:p>
          <w:p w14:paraId="45661656" w14:textId="77777777" w:rsidR="00AA75B0" w:rsidRDefault="00000000" w:rsidP="007F7D80">
            <w:pPr>
              <w:pStyle w:val="V-SynopsisNumberedList1"/>
              <w:widowControl w:val="0"/>
              <w:ind w:left="720"/>
            </w:pPr>
            <w:r>
              <w:t>Provides written informed consent before any study-specific procedure.</w:t>
            </w:r>
          </w:p>
          <w:p w14:paraId="7873C977" w14:textId="70E1D9AA" w:rsidR="00AA75B0" w:rsidRDefault="00000000" w:rsidP="007F7D80">
            <w:pPr>
              <w:pStyle w:val="V-SynopsisNumberedList1"/>
              <w:widowControl w:val="0"/>
              <w:ind w:left="720"/>
            </w:pPr>
            <w:r>
              <w:t>Is ≥ 18 years of age at the time of consent.</w:t>
            </w:r>
          </w:p>
          <w:p w14:paraId="0D04CD79" w14:textId="77777777" w:rsidR="00AA75B0" w:rsidRDefault="00000000" w:rsidP="007F7D80">
            <w:pPr>
              <w:pStyle w:val="V-SynopsisNumberedList1"/>
              <w:widowControl w:val="0"/>
              <w:ind w:left="720"/>
            </w:pPr>
            <w:r>
              <w:t>Has a histologically or cytologically confirmed advanced or metastatic solid tumor that has progressed on, or is intolerant to, standard therapy, or for which no standard therapy is expected to provide benefit.</w:t>
            </w:r>
          </w:p>
          <w:p w14:paraId="0C4B5C5F" w14:textId="77777777" w:rsidR="00AA75B0" w:rsidRDefault="00000000" w:rsidP="007F7D80">
            <w:pPr>
              <w:pStyle w:val="V-SynopsisNumberedList1"/>
              <w:widowControl w:val="0"/>
              <w:ind w:left="720"/>
            </w:pPr>
            <w:r>
              <w:lastRenderedPageBreak/>
              <w:t>Has at least one measurable lesion per RECIST v1.1.</w:t>
            </w:r>
          </w:p>
          <w:p w14:paraId="422371F1" w14:textId="77777777" w:rsidR="00AA75B0" w:rsidRDefault="00000000" w:rsidP="007F7D80">
            <w:pPr>
              <w:pStyle w:val="V-SynopsisNumberedList1"/>
              <w:widowControl w:val="0"/>
              <w:ind w:left="720"/>
            </w:pPr>
            <w:r>
              <w:t>Has an Eastern Cooperative Oncology Group (ECOG) performance status of 0 or 1.</w:t>
            </w:r>
          </w:p>
          <w:p w14:paraId="64D704B0" w14:textId="77777777" w:rsidR="00AA75B0" w:rsidRDefault="00000000" w:rsidP="007F7D80">
            <w:pPr>
              <w:pStyle w:val="V-SynopsisNumberedList1"/>
              <w:widowControl w:val="0"/>
              <w:ind w:left="720"/>
            </w:pPr>
            <w:r>
              <w:t>Has a life expectancy of ≥ 12 weeks in the judgment of the Investigator.</w:t>
            </w:r>
          </w:p>
          <w:p w14:paraId="27DBC17C" w14:textId="701DADFA" w:rsidR="00AA75B0" w:rsidRDefault="00000000" w:rsidP="007F7D80">
            <w:pPr>
              <w:pStyle w:val="V-SynopsisNumberedList1"/>
              <w:widowControl w:val="0"/>
              <w:ind w:left="720"/>
            </w:pPr>
            <w:r>
              <w:t xml:space="preserve">Has adequate organ and bone marrow function, defined by laboratory values </w:t>
            </w:r>
            <w:r w:rsidR="00544739">
              <w:t>as follows before the first dose of study drug</w:t>
            </w:r>
            <w:r>
              <w:t>:</w:t>
            </w:r>
          </w:p>
          <w:p w14:paraId="349A7AF4" w14:textId="77777777" w:rsidR="00EC11F7" w:rsidRDefault="00000000">
            <w:pPr>
              <w:pStyle w:val="V-SynopsisNumberedList1"/>
              <w:numPr>
                <w:ilvl w:val="1"/>
                <w:numId w:val="20"/>
              </w:numPr>
            </w:pPr>
            <w:r>
              <w:t>Absolute neutrophil count ≥ 1.5 × 10⁹/L without granulocyte colony-stimulating factor (G-CSF) support within 7 days.</w:t>
            </w:r>
          </w:p>
          <w:p w14:paraId="256BB25E" w14:textId="77777777" w:rsidR="00EC11F7" w:rsidRDefault="00000000">
            <w:pPr>
              <w:pStyle w:val="V-SynopsisNumberedList1"/>
              <w:numPr>
                <w:ilvl w:val="1"/>
                <w:numId w:val="20"/>
              </w:numPr>
            </w:pPr>
            <w:r>
              <w:t>Platelet count ≥ 100 × 10⁹/L without transfusion within the prior week.</w:t>
            </w:r>
          </w:p>
          <w:p w14:paraId="2FA67DD1" w14:textId="77777777" w:rsidR="00EC11F7" w:rsidRDefault="00000000">
            <w:pPr>
              <w:pStyle w:val="V-SynopsisNumberedList1"/>
              <w:numPr>
                <w:ilvl w:val="1"/>
                <w:numId w:val="20"/>
              </w:numPr>
            </w:pPr>
            <w:r>
              <w:t>Hemoglobin ≥ 9 g/dL.</w:t>
            </w:r>
          </w:p>
          <w:p w14:paraId="21358136" w14:textId="77777777" w:rsidR="00EC11F7" w:rsidRDefault="00000000">
            <w:pPr>
              <w:pStyle w:val="V-SynopsisNumberedList1"/>
              <w:numPr>
                <w:ilvl w:val="1"/>
                <w:numId w:val="20"/>
              </w:numPr>
            </w:pPr>
            <w:r>
              <w:t>Total bilirubin ≤ 1.5 × the upper limit of normal (ULN), except in Gilbert syndrome.</w:t>
            </w:r>
          </w:p>
          <w:p w14:paraId="1CAAB6A2" w14:textId="77777777" w:rsidR="00EC11F7" w:rsidRDefault="00000000">
            <w:pPr>
              <w:pStyle w:val="V-SynopsisNumberedList1"/>
              <w:numPr>
                <w:ilvl w:val="1"/>
                <w:numId w:val="20"/>
              </w:numPr>
            </w:pPr>
            <w:r>
              <w:t>Aspartate aminotransferase and alanine aminotransferase ≤ 3 × ULN (≤ 5 × ULN with liver metastases).</w:t>
            </w:r>
          </w:p>
          <w:p w14:paraId="5C2D194D" w14:textId="77777777" w:rsidR="00EC11F7" w:rsidRDefault="00000000">
            <w:pPr>
              <w:pStyle w:val="V-SynopsisNumberedList1"/>
              <w:numPr>
                <w:ilvl w:val="1"/>
                <w:numId w:val="20"/>
              </w:numPr>
            </w:pPr>
            <w:r>
              <w:t>Has adequate renal function, met by either of the following:</w:t>
            </w:r>
          </w:p>
          <w:p w14:paraId="5C2D1A01" w14:textId="77777777" w:rsidR="00327122" w:rsidRDefault="00000000">
            <w:pPr>
              <w:pStyle w:val="V-SynopsisNumberedList1"/>
              <w:numPr>
                <w:ilvl w:val="2"/>
                <w:numId w:val="20"/>
              </w:numPr>
            </w:pPr>
            <w:r>
              <w:t>serum creatinine ≤ 1.5 × ULN; or</w:t>
            </w:r>
          </w:p>
          <w:p w14:paraId="5C2D1A02" w14:textId="77777777" w:rsidR="00327122" w:rsidRDefault="00000000">
            <w:pPr>
              <w:pStyle w:val="V-SynopsisNumberedList1"/>
              <w:numPr>
                <w:ilvl w:val="2"/>
                <w:numId w:val="20"/>
              </w:numPr>
            </w:pPr>
            <w:r>
              <w:t>calculated creatinine clearance of ≥ 50 mL/min by the Cockcroft-Gault formula.</w:t>
            </w:r>
          </w:p>
          <w:p w14:paraId="49307E82" w14:textId="77777777" w:rsidR="00AA75B0" w:rsidRDefault="00000000">
            <w:pPr>
              <w:pStyle w:val="V-SynopsisNumberedList1"/>
              <w:ind w:left="720"/>
            </w:pPr>
            <w:r>
              <w:t>Has recovered to baseline or to CTCAE Grade 1 from clinically significant toxicity of prior therapy, except alopecia and stable peripheral neuropathy.</w:t>
            </w:r>
          </w:p>
          <w:p w14:paraId="64720B67" w14:textId="092DD566" w:rsidR="00AA75B0" w:rsidRDefault="00000000">
            <w:pPr>
              <w:pStyle w:val="V-SynopsisNumberedList1"/>
              <w:ind w:left="720"/>
            </w:pPr>
            <w:r>
              <w:t xml:space="preserve">If a woman of childbearing potential, has a negative serum pregnancy test before the first dose and agrees to the contraception requirements in </w:t>
            </w:r>
            <w:hyperlink w:anchor="_Toc233740288" w:history="1">
              <w:r w:rsidRPr="00452F4D">
                <w:rPr>
                  <w:rStyle w:val="Hyperlink"/>
                </w:rPr>
                <w:t>Section 5.6</w:t>
              </w:r>
            </w:hyperlink>
            <w:r w:rsidRPr="00452F4D">
              <w:t>; if a man with a partner of childbearing potential, agrees to the contraception requirements in</w:t>
            </w:r>
            <w:r w:rsidR="00B15397" w:rsidRPr="00452F4D">
              <w:t xml:space="preserve"> </w:t>
            </w:r>
            <w:hyperlink w:anchor="_Toc233740288" w:history="1">
              <w:r w:rsidR="00B15397" w:rsidRPr="00452F4D">
                <w:rPr>
                  <w:rStyle w:val="Hyperlink"/>
                </w:rPr>
                <w:t>Section 5.6</w:t>
              </w:r>
            </w:hyperlink>
            <w:r w:rsidR="00B15397" w:rsidRPr="00452F4D">
              <w:rPr>
                <w:rStyle w:val="Hyperlink"/>
              </w:rPr>
              <w:t>.</w:t>
            </w:r>
            <w:r w:rsidR="00B15397">
              <w:rPr>
                <w:rStyle w:val="Hyperlink"/>
              </w:rPr>
              <w:t xml:space="preserve"> </w:t>
            </w:r>
          </w:p>
          <w:p w14:paraId="062C67E1" w14:textId="77777777" w:rsidR="00AA75B0" w:rsidRDefault="00000000">
            <w:pPr>
              <w:pStyle w:val="V-SynopsisNumberedList1"/>
              <w:ind w:left="720"/>
            </w:pPr>
            <w:r>
              <w:t>Is able and willing to comply with the protocol, including the dose-limiting-toxicity assessments and the pharmacokinetic sampling schedule.</w:t>
            </w:r>
          </w:p>
        </w:tc>
      </w:tr>
      <w:tr w:rsidR="00FF0884" w14:paraId="28F32ADA" w14:textId="77777777" w:rsidTr="00B57F24">
        <w:tc>
          <w:tcPr>
            <w:tcW w:w="5000" w:type="pct"/>
          </w:tcPr>
          <w:p w14:paraId="5B42908D" w14:textId="77777777" w:rsidR="00FF0884" w:rsidRDefault="00000000">
            <w:pPr>
              <w:pStyle w:val="V-tablerowheader"/>
            </w:pPr>
            <w:r>
              <w:lastRenderedPageBreak/>
              <w:t>Exclusion Criteria:</w:t>
            </w:r>
          </w:p>
          <w:p w14:paraId="23B06A89" w14:textId="77777777" w:rsidR="00AA75B0" w:rsidRDefault="00000000" w:rsidP="005552F9">
            <w:pPr>
              <w:pStyle w:val="V-SynopsisNumberedList1"/>
              <w:numPr>
                <w:ilvl w:val="0"/>
                <w:numId w:val="47"/>
              </w:numPr>
            </w:pPr>
            <w:r>
              <w:t>Has received anticancer therapy within the protocol-specified washout before the first dose, or an investigational agent or device within the protocol-specified washout.</w:t>
            </w:r>
          </w:p>
          <w:p w14:paraId="41F3C02B" w14:textId="77777777" w:rsidR="00AA75B0" w:rsidRDefault="00000000" w:rsidP="005D3FB6">
            <w:pPr>
              <w:pStyle w:val="V-SynopsisNumberedList1"/>
              <w:numPr>
                <w:ilvl w:val="0"/>
                <w:numId w:val="37"/>
              </w:numPr>
            </w:pPr>
            <w:r>
              <w:t>Has untreated or symptomatic central nervous system metastases; patients with treated, stable, asymptomatic central nervous system metastases who meet the protocol-specified criteria are eligible.</w:t>
            </w:r>
          </w:p>
          <w:p w14:paraId="3F200684" w14:textId="77777777" w:rsidR="00AA75B0" w:rsidRDefault="00000000" w:rsidP="005D3FB6">
            <w:pPr>
              <w:pStyle w:val="V-SynopsisNumberedList1"/>
              <w:numPr>
                <w:ilvl w:val="0"/>
                <w:numId w:val="37"/>
              </w:numPr>
            </w:pPr>
            <w:r>
              <w:t>Has a second malignancy that required treatment within the protocol-specified period, other than adequately treated in situ disease or another cancer treated with curative intent and without evidence of disease.</w:t>
            </w:r>
          </w:p>
          <w:p w14:paraId="4AA6C813" w14:textId="77777777" w:rsidR="00AA75B0" w:rsidRDefault="00000000" w:rsidP="005D3FB6">
            <w:pPr>
              <w:pStyle w:val="V-SynopsisNumberedList1"/>
              <w:numPr>
                <w:ilvl w:val="0"/>
                <w:numId w:val="37"/>
              </w:numPr>
            </w:pPr>
            <w:r>
              <w:t>Has clinically significant or uncontrolled cardiovascular disease, including myocardial infarction or arterial thromboembolic event within the prior 6 months, unstable angina, symptomatic heart failure, or a clinically significant arrhythmia.</w:t>
            </w:r>
          </w:p>
          <w:p w14:paraId="7B565DBC" w14:textId="77777777" w:rsidR="00AA75B0" w:rsidRDefault="00000000" w:rsidP="005D3FB6">
            <w:pPr>
              <w:pStyle w:val="V-SynopsisNumberedList1"/>
              <w:numPr>
                <w:ilvl w:val="0"/>
                <w:numId w:val="37"/>
              </w:numPr>
            </w:pPr>
            <w:r>
              <w:t>Has a corrected QT interval above the protocol-specified threshold, or takes a concomitant medication known to prolong the QT interval where substitution is not feasible.</w:t>
            </w:r>
          </w:p>
          <w:p w14:paraId="3B56F786" w14:textId="77777777" w:rsidR="00AA75B0" w:rsidRDefault="00000000" w:rsidP="005D3FB6">
            <w:pPr>
              <w:pStyle w:val="V-SynopsisNumberedList1"/>
              <w:numPr>
                <w:ilvl w:val="0"/>
                <w:numId w:val="37"/>
              </w:numPr>
            </w:pPr>
            <w:r>
              <w:t>Has an active infection requiring systemic therapy, or known human immunodeficiency virus infection or active hepatitis B or hepatitis C infection.</w:t>
            </w:r>
          </w:p>
          <w:p w14:paraId="12629DAF" w14:textId="77777777" w:rsidR="00AA75B0" w:rsidRDefault="00000000" w:rsidP="005D3FB6">
            <w:pPr>
              <w:pStyle w:val="V-SynopsisNumberedList1"/>
              <w:numPr>
                <w:ilvl w:val="0"/>
                <w:numId w:val="37"/>
              </w:numPr>
            </w:pPr>
            <w:r>
              <w:t>Has known hypersensitivity to DRUG‑123 or to any excipient of the formulation.</w:t>
            </w:r>
          </w:p>
          <w:p w14:paraId="6C47F96B" w14:textId="77777777" w:rsidR="00AA75B0" w:rsidRDefault="00000000" w:rsidP="005D3FB6">
            <w:pPr>
              <w:pStyle w:val="V-SynopsisNumberedList1"/>
              <w:numPr>
                <w:ilvl w:val="0"/>
                <w:numId w:val="37"/>
              </w:numPr>
            </w:pPr>
            <w:r>
              <w:t>Has an unresolved clinically significant toxicity from prior therapy above CTCAE Grade 1, except alopecia and stable peripheral neuropathy.</w:t>
            </w:r>
          </w:p>
          <w:p w14:paraId="20387C94" w14:textId="77777777" w:rsidR="00AA75B0" w:rsidRDefault="00000000" w:rsidP="005D3FB6">
            <w:pPr>
              <w:pStyle w:val="V-SynopsisNumberedList1"/>
              <w:numPr>
                <w:ilvl w:val="0"/>
                <w:numId w:val="37"/>
              </w:numPr>
            </w:pPr>
            <w:r>
              <w:t>Is pregnant or breastfeeding.</w:t>
            </w:r>
          </w:p>
          <w:p w14:paraId="320FF33D" w14:textId="77777777" w:rsidR="00AA75B0" w:rsidRDefault="00000000" w:rsidP="005D3FB6">
            <w:pPr>
              <w:pStyle w:val="V-SynopsisNumberedList1"/>
              <w:numPr>
                <w:ilvl w:val="0"/>
                <w:numId w:val="37"/>
              </w:numPr>
            </w:pPr>
            <w:r>
              <w:t>Has any condition that, in the Investigator's judgment, would interfere with participation, with the dose-limiting-toxicity assessment, or with interpretation of the study results.</w:t>
            </w:r>
          </w:p>
        </w:tc>
      </w:tr>
      <w:tr w:rsidR="00FF0884" w14:paraId="615ACF57" w14:textId="77777777" w:rsidTr="00B57F24">
        <w:tc>
          <w:tcPr>
            <w:tcW w:w="5000" w:type="pct"/>
          </w:tcPr>
          <w:p w14:paraId="066D07EC" w14:textId="77777777" w:rsidR="00FF0884" w:rsidRDefault="00000000" w:rsidP="00452F4D">
            <w:pPr>
              <w:pStyle w:val="V-tablerowheader"/>
              <w:keepNext/>
              <w:keepLines/>
            </w:pPr>
            <w:r>
              <w:lastRenderedPageBreak/>
              <w:t>Statistical Methods and Sample Size:</w:t>
            </w:r>
          </w:p>
          <w:p w14:paraId="0429DD61" w14:textId="113E9C07" w:rsidR="00452F4D" w:rsidRDefault="00452F4D" w:rsidP="00452F4D">
            <w:pPr>
              <w:pStyle w:val="V-SynopsisHeading2"/>
            </w:pPr>
            <w:r>
              <w:t>General:</w:t>
            </w:r>
          </w:p>
          <w:p w14:paraId="230E7467" w14:textId="606DD5C4" w:rsidR="00452F4D" w:rsidRPr="00452F4D" w:rsidRDefault="00452F4D" w:rsidP="00452F4D">
            <w:pPr>
              <w:pStyle w:val="SynopsisText"/>
              <w:keepNext/>
              <w:keepLines/>
              <w:rPr>
                <w:szCs w:val="20"/>
              </w:rPr>
            </w:pPr>
            <w:r w:rsidRPr="00092B3A">
              <w:rPr>
                <w:szCs w:val="20"/>
              </w:rPr>
              <w:t xml:space="preserve">Data will be summarized using descriptive statistics (number of </w:t>
            </w:r>
            <w:r w:rsidR="00153D5F">
              <w:rPr>
                <w:szCs w:val="20"/>
              </w:rPr>
              <w:t>patient</w:t>
            </w:r>
            <w:r w:rsidRPr="00092B3A">
              <w:rPr>
                <w:szCs w:val="20"/>
              </w:rPr>
              <w:t xml:space="preserve">s, mean, median, standard deviation, minimum, and maximum for continuous variables, and frequencies and percentages for discrete variables); and time-to-event variables will be summarized by Kaplan-Meier medians and curves. Data will be presented by dose level and cohort. Data listings will be created to support each table and to present all data. </w:t>
            </w:r>
          </w:p>
          <w:p w14:paraId="604B0708" w14:textId="77777777" w:rsidR="00452F4D" w:rsidRDefault="00000000" w:rsidP="00452F4D">
            <w:pPr>
              <w:pStyle w:val="V-SynopsisHeading2"/>
            </w:pPr>
            <w:r>
              <w:t xml:space="preserve">Analysis sets: </w:t>
            </w:r>
          </w:p>
          <w:p w14:paraId="5AB8AC3B" w14:textId="77724359" w:rsidR="00452F4D" w:rsidRDefault="00452F4D" w:rsidP="00452F4D">
            <w:pPr>
              <w:pStyle w:val="V-SynopsisBullet1"/>
            </w:pPr>
            <w:r w:rsidRPr="00452F4D">
              <w:rPr>
                <w:b/>
                <w:bCs/>
              </w:rPr>
              <w:t>The Safety Analysis Set</w:t>
            </w:r>
            <w:r>
              <w:t xml:space="preserve">: comprises all patients who receive any dose of DRUG‑123 and is the basis for all safety analyses. </w:t>
            </w:r>
          </w:p>
          <w:p w14:paraId="13DC210E" w14:textId="77777777" w:rsidR="00452F4D" w:rsidRDefault="00452F4D" w:rsidP="00452F4D">
            <w:pPr>
              <w:pStyle w:val="V-SynopsisBullet1"/>
            </w:pPr>
            <w:r w:rsidRPr="00452F4D">
              <w:rPr>
                <w:b/>
                <w:bCs/>
              </w:rPr>
              <w:t>The DLT-Evaluable Set</w:t>
            </w:r>
            <w:r>
              <w:t xml:space="preserve">: comprises patients who complete the 28-day Cycle 1 DLT observation window or experience a DLT during it. </w:t>
            </w:r>
          </w:p>
          <w:p w14:paraId="4F799D63" w14:textId="77777777" w:rsidR="00452F4D" w:rsidRDefault="00452F4D" w:rsidP="00452F4D">
            <w:pPr>
              <w:pStyle w:val="V-SynopsisBullet1"/>
            </w:pPr>
            <w:r w:rsidRPr="00452F4D">
              <w:rPr>
                <w:b/>
                <w:bCs/>
              </w:rPr>
              <w:t>The PK Analysis Set</w:t>
            </w:r>
            <w:r>
              <w:t>: comprises patients with at least one evaluable DRUG‑123 concentration</w:t>
            </w:r>
          </w:p>
          <w:p w14:paraId="7EEEFF87" w14:textId="7F7AE46F" w:rsidR="00452F4D" w:rsidRDefault="00452F4D" w:rsidP="00452F4D">
            <w:pPr>
              <w:pStyle w:val="V-SynopsisBullet1"/>
            </w:pPr>
            <w:r w:rsidRPr="00452F4D">
              <w:rPr>
                <w:b/>
                <w:bCs/>
              </w:rPr>
              <w:t>The Response-Evaluable Set</w:t>
            </w:r>
            <w:r>
              <w:t xml:space="preserve">: comprises patients with a baseline and at least one post-baseline disease assessment per RECIST v1.1. </w:t>
            </w:r>
          </w:p>
          <w:p w14:paraId="5CAD3029" w14:textId="755D7363" w:rsidR="00452F4D" w:rsidRDefault="00452F4D" w:rsidP="00452F4D">
            <w:pPr>
              <w:pStyle w:val="V-SynopsisHeading2"/>
            </w:pPr>
            <w:r>
              <w:t>Analyses:</w:t>
            </w:r>
          </w:p>
          <w:p w14:paraId="170E6A42" w14:textId="77777777" w:rsidR="00452F4D" w:rsidRDefault="00000000" w:rsidP="00C062CF">
            <w:pPr>
              <w:pStyle w:val="V-SynopsisBodyText"/>
            </w:pPr>
            <w:r>
              <w:t xml:space="preserve">Primary analysis: no formal hypothesis is tested; safety, tolerability, and DLT incidence are summarized descriptively by dose level and overall. </w:t>
            </w:r>
          </w:p>
          <w:p w14:paraId="5F4A6A1A" w14:textId="2321F3DD" w:rsidR="00452F4D" w:rsidRDefault="00000000" w:rsidP="00C062CF">
            <w:pPr>
              <w:pStyle w:val="V-SynopsisBodyText"/>
            </w:pPr>
            <w:r>
              <w:t>Secondary analyses: PK parameters are summarized by dose level (geometric mean and geometric CV%, median with range for T</w:t>
            </w:r>
            <w:r>
              <w:rPr>
                <w:vertAlign w:val="subscript"/>
              </w:rPr>
              <w:t>max</w:t>
            </w:r>
            <w:r>
              <w:t xml:space="preserve">); ORR is summarized by dose level and overall with the exact two-sided 95% (Clopper-Pearson) confidence interval; DOR and PFS are summarized by the Kaplan-Meier method. </w:t>
            </w:r>
          </w:p>
          <w:p w14:paraId="44A0BA68" w14:textId="77777777" w:rsidR="00452F4D" w:rsidRPr="00452F4D" w:rsidRDefault="00000000" w:rsidP="00452F4D">
            <w:pPr>
              <w:pStyle w:val="V-SynopsisHeading2"/>
            </w:pPr>
            <w:r w:rsidRPr="00452F4D">
              <w:t xml:space="preserve">Sample Size: </w:t>
            </w:r>
          </w:p>
          <w:p w14:paraId="1FD59FA9" w14:textId="46960C3D" w:rsidR="00FF0884" w:rsidRDefault="00000000" w:rsidP="00C062CF">
            <w:pPr>
              <w:pStyle w:val="V-SynopsisBodyText"/>
            </w:pPr>
            <w:r>
              <w:t xml:space="preserve">The sample size for Part 1 (Dose Finding) of this study is based on an accelerated-titration-then-3+3 dose-escalation scheme. In Part 1, a minimum of </w:t>
            </w:r>
            <w:r w:rsidR="00452F4D">
              <w:t>1-3</w:t>
            </w:r>
            <w:r>
              <w:t xml:space="preserve"> patients are expected to enroll in each opened dose level. Depending on the occurrence of DLTs and the number of dose levels evaluated, additional patients may be enrolled (approximately XX to YY) to establish the MTD and RP2D. After completion of Part 1, an additional XX to YY response-evaluable patients are expected to be treated with the RP2D of DRUG‑123 in Part 2 (Dose Expansion). Under this design, there is an approximately XX% chance of escalation if the true but unknown rate of DLT is XX% and less than a YY% chance of escalation if the true but unknown rate of DLT is higher than YY%.</w:t>
            </w:r>
          </w:p>
        </w:tc>
      </w:tr>
    </w:tbl>
    <w:p w14:paraId="73D1183D" w14:textId="77777777" w:rsidR="008F65FC" w:rsidRDefault="00000000">
      <w:pPr>
        <w:pStyle w:val="V-Guidance"/>
        <w:pageBreakBefore/>
      </w:pPr>
      <w:r>
        <w:lastRenderedPageBreak/>
        <w:t>For Sponsors that prefer a written (narrative) synopsis, the numbered subsections below illustrate the format. Use either a synopsis table or this narrative format, not both.</w:t>
      </w:r>
    </w:p>
    <w:p w14:paraId="379BE1FC" w14:textId="77777777" w:rsidR="008F65FC" w:rsidRDefault="00000000" w:rsidP="005552F9">
      <w:pPr>
        <w:pStyle w:val="V-heading3"/>
      </w:pPr>
      <w:r>
        <w:t xml:space="preserve">Background and Rationale </w:t>
      </w:r>
    </w:p>
    <w:p w14:paraId="723943C1" w14:textId="4DCCE3CF" w:rsidR="008F65FC" w:rsidRDefault="00000000">
      <w:pPr>
        <w:pStyle w:val="V-Example"/>
      </w:pPr>
      <w:r>
        <w:t>The disease under study, in the persistent, recurrent, or metastatic setting, carries a poor prognosis on standard chemotherapy alone. DRUG‑123 has a mechanism of action that is complementary to platinum-based chemotherapy, and earlier</w:t>
      </w:r>
      <w:r w:rsidR="00653F86">
        <w:t xml:space="preserve"> nonclinical and clinical</w:t>
      </w:r>
      <w:r>
        <w:t xml:space="preserve"> studies support an acceptable safety profile in combination. This study tests whether adding DRUG‑123 to platinum-based chemotherapy improves progression-free survival in the </w:t>
      </w:r>
      <w:r w:rsidR="00F614C8">
        <w:t>second</w:t>
      </w:r>
      <w:r>
        <w:t>-line setting.</w:t>
      </w:r>
    </w:p>
    <w:p w14:paraId="3475E034" w14:textId="5B2B624C" w:rsidR="006B2E81" w:rsidRPr="002939B0" w:rsidRDefault="006B2E81" w:rsidP="005552F9">
      <w:pPr>
        <w:pStyle w:val="V-heading3"/>
      </w:pPr>
      <w:r>
        <w:t>Primary and Secondary Objectives and Endpoints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6B2E81" w:rsidRPr="002939B0" w14:paraId="0CD3D75C" w14:textId="77777777" w:rsidTr="00B57F24">
        <w:trPr>
          <w:tblHeader/>
        </w:trPr>
        <w:tc>
          <w:tcPr>
            <w:tcW w:w="2508" w:type="pct"/>
          </w:tcPr>
          <w:p w14:paraId="29270448" w14:textId="77777777" w:rsidR="006B2E81" w:rsidRPr="002939B0" w:rsidRDefault="006B2E81" w:rsidP="009107D4">
            <w:pPr>
              <w:pStyle w:val="V-tableheader"/>
              <w:keepNext/>
              <w:rPr>
                <w:lang w:val="en-GB"/>
              </w:rPr>
            </w:pPr>
            <w:r>
              <w:rPr>
                <w:lang w:val="en-GB"/>
              </w:rPr>
              <w:t>Objectives</w:t>
            </w:r>
          </w:p>
        </w:tc>
        <w:tc>
          <w:tcPr>
            <w:tcW w:w="2492" w:type="pct"/>
          </w:tcPr>
          <w:p w14:paraId="58DC0C61" w14:textId="77777777" w:rsidR="006B2E81" w:rsidRPr="002939B0" w:rsidRDefault="006B2E81" w:rsidP="009107D4">
            <w:pPr>
              <w:pStyle w:val="V-tableheader"/>
              <w:keepNext/>
            </w:pPr>
            <w:r>
              <w:t>Endpoints</w:t>
            </w:r>
          </w:p>
        </w:tc>
      </w:tr>
      <w:tr w:rsidR="006B2E81" w:rsidRPr="002939B0" w14:paraId="41315C27" w14:textId="77777777" w:rsidTr="00B57F24">
        <w:tc>
          <w:tcPr>
            <w:tcW w:w="5000" w:type="pct"/>
            <w:gridSpan w:val="2"/>
          </w:tcPr>
          <w:p w14:paraId="35F98A09" w14:textId="77777777" w:rsidR="006B2E81" w:rsidRPr="002939B0" w:rsidRDefault="006B2E81" w:rsidP="009107D4">
            <w:pPr>
              <w:pStyle w:val="V-tablebody"/>
              <w:keepNext/>
              <w:rPr>
                <w:lang w:val="en-GB"/>
              </w:rPr>
            </w:pPr>
            <w:r>
              <w:rPr>
                <w:b/>
                <w:bCs/>
                <w:lang w:val="en-GB"/>
              </w:rPr>
              <w:t>Primary</w:t>
            </w:r>
          </w:p>
        </w:tc>
      </w:tr>
      <w:tr w:rsidR="006B2E81" w:rsidRPr="002939B0" w14:paraId="52BB3835" w14:textId="77777777" w:rsidTr="00B57F24">
        <w:tc>
          <w:tcPr>
            <w:tcW w:w="2508" w:type="pct"/>
          </w:tcPr>
          <w:p w14:paraId="1DA918B1" w14:textId="5014626C" w:rsidR="006B2E81" w:rsidRPr="00452F4D" w:rsidRDefault="006B2E81" w:rsidP="00452F4D">
            <w:pPr>
              <w:pStyle w:val="V-tablebullet2"/>
            </w:pPr>
            <w:r w:rsidRPr="00452F4D">
              <w:t>To determine whether DRUG‑123 improves PFS when compared with placebo in combination with platinum-based chemotherapy.</w:t>
            </w:r>
          </w:p>
        </w:tc>
        <w:tc>
          <w:tcPr>
            <w:tcW w:w="2492" w:type="pct"/>
          </w:tcPr>
          <w:p w14:paraId="7B24ED94" w14:textId="77777777" w:rsidR="006B2E81" w:rsidRPr="002939B0" w:rsidRDefault="006B2E81" w:rsidP="00452F4D">
            <w:pPr>
              <w:pStyle w:val="V-tablebullet1"/>
            </w:pPr>
            <w:r>
              <w:t>PFS is defined as the time from randomization until disease progression or death from any cause, whichever occurs first. Progression is per RECIST v1.1 as assessed by the investigator (BICR as a sensitivity analysis).</w:t>
            </w:r>
          </w:p>
        </w:tc>
      </w:tr>
      <w:tr w:rsidR="006B2E81" w:rsidRPr="002939B0" w14:paraId="7D1CE121" w14:textId="77777777" w:rsidTr="00B57F24">
        <w:tc>
          <w:tcPr>
            <w:tcW w:w="5000" w:type="pct"/>
            <w:gridSpan w:val="2"/>
          </w:tcPr>
          <w:p w14:paraId="7368233D" w14:textId="77777777" w:rsidR="006B2E81" w:rsidRPr="002939B0" w:rsidRDefault="006B2E81" w:rsidP="009107D4">
            <w:pPr>
              <w:pStyle w:val="V-tablebody"/>
              <w:keepNext/>
              <w:keepLines/>
            </w:pPr>
            <w:r>
              <w:rPr>
                <w:b/>
                <w:bCs/>
              </w:rPr>
              <w:t>Secondary</w:t>
            </w:r>
          </w:p>
        </w:tc>
      </w:tr>
      <w:tr w:rsidR="006B2E81" w:rsidRPr="002939B0" w14:paraId="7ABC2BE6" w14:textId="77777777" w:rsidTr="00B57F24">
        <w:tc>
          <w:tcPr>
            <w:tcW w:w="2508" w:type="pct"/>
          </w:tcPr>
          <w:p w14:paraId="57F5A67F" w14:textId="4EBFDC67" w:rsidR="006B2E81" w:rsidRPr="00452F4D" w:rsidRDefault="006B2E81" w:rsidP="00452F4D">
            <w:pPr>
              <w:pStyle w:val="V-tablebullet2"/>
            </w:pPr>
            <w:r w:rsidRPr="00452F4D">
              <w:t>To determine whether DRUG‑123 improves OS when compared with placebo in combination with platinum-based chemotherapy.</w:t>
            </w:r>
          </w:p>
        </w:tc>
        <w:tc>
          <w:tcPr>
            <w:tcW w:w="2492" w:type="pct"/>
          </w:tcPr>
          <w:p w14:paraId="06014B8E" w14:textId="77777777" w:rsidR="006B2E81" w:rsidRPr="00452F4D" w:rsidRDefault="006B2E81" w:rsidP="00452F4D">
            <w:pPr>
              <w:pStyle w:val="V-tablebullet1"/>
            </w:pPr>
            <w:r w:rsidRPr="00452F4D">
              <w:t>OS is defined as the time from randomization until death from any cause.</w:t>
            </w:r>
          </w:p>
        </w:tc>
      </w:tr>
      <w:tr w:rsidR="006B2E81" w:rsidRPr="002939B0" w14:paraId="62E38EE9" w14:textId="77777777" w:rsidTr="00B57F24">
        <w:tc>
          <w:tcPr>
            <w:tcW w:w="2508" w:type="pct"/>
          </w:tcPr>
          <w:p w14:paraId="1FED01EE" w14:textId="437CCB15" w:rsidR="006B2E81" w:rsidRPr="00452F4D" w:rsidRDefault="006B2E81" w:rsidP="00452F4D">
            <w:pPr>
              <w:pStyle w:val="V-tablebullet2"/>
            </w:pPr>
            <w:r w:rsidRPr="00452F4D">
              <w:t>To determine whether DRUG‑123 improves ORR when compared with placebo in combination with platinum-based chemotherapy.</w:t>
            </w:r>
          </w:p>
        </w:tc>
        <w:tc>
          <w:tcPr>
            <w:tcW w:w="2492" w:type="pct"/>
          </w:tcPr>
          <w:p w14:paraId="626FC62D" w14:textId="77777777" w:rsidR="006B2E81" w:rsidRPr="00452F4D" w:rsidRDefault="006B2E81" w:rsidP="00452F4D">
            <w:pPr>
              <w:pStyle w:val="V-tablebullet1"/>
            </w:pPr>
            <w:r w:rsidRPr="00452F4D">
              <w:t>Confirmed objective response rate (ORR) (PR or CR) per RECIST v1.1, assessed by BICR.</w:t>
            </w:r>
          </w:p>
          <w:p w14:paraId="75128775" w14:textId="77777777" w:rsidR="006B2E81" w:rsidRPr="00452F4D" w:rsidRDefault="006B2E81" w:rsidP="00452F4D">
            <w:pPr>
              <w:pStyle w:val="V-tablebullet1"/>
            </w:pPr>
            <w:r w:rsidRPr="00452F4D">
              <w:t>ORR as assessed by the Investigator</w:t>
            </w:r>
          </w:p>
        </w:tc>
      </w:tr>
      <w:tr w:rsidR="006B2E81" w:rsidRPr="002939B0" w14:paraId="10C4310F" w14:textId="77777777" w:rsidTr="00B57F24">
        <w:tc>
          <w:tcPr>
            <w:tcW w:w="2508" w:type="pct"/>
          </w:tcPr>
          <w:p w14:paraId="4EEE60C7" w14:textId="636955DA" w:rsidR="006B2E81" w:rsidRPr="00452F4D" w:rsidRDefault="006B2E81" w:rsidP="00452F4D">
            <w:pPr>
              <w:pStyle w:val="V-tablebullet2"/>
            </w:pPr>
            <w:r w:rsidRPr="00452F4D">
              <w:t>To evaluate the DOR of treatment with DRUG‑123 versus placebo in combination with platinum-based chemotherapy.</w:t>
            </w:r>
          </w:p>
        </w:tc>
        <w:tc>
          <w:tcPr>
            <w:tcW w:w="2492" w:type="pct"/>
          </w:tcPr>
          <w:p w14:paraId="2A038DDB" w14:textId="77777777" w:rsidR="006B2E81" w:rsidRPr="00452F4D" w:rsidRDefault="006B2E81" w:rsidP="00452F4D">
            <w:pPr>
              <w:pStyle w:val="V-tablebullet1"/>
            </w:pPr>
            <w:r w:rsidRPr="00452F4D">
              <w:t>DOR defined as time from first evidence of objective response (PR or CR) to disease progression or death from any cause, whichever occurs first. Response and progression are as assessed per RECIST v1.1 by BICR.</w:t>
            </w:r>
          </w:p>
          <w:p w14:paraId="6565E30C" w14:textId="77777777" w:rsidR="006B2E81" w:rsidRPr="00452F4D" w:rsidRDefault="006B2E81" w:rsidP="00452F4D">
            <w:pPr>
              <w:pStyle w:val="V-tablebullet1"/>
            </w:pPr>
            <w:r w:rsidRPr="00452F4D">
              <w:t>DOR as assessed by the Investigator</w:t>
            </w:r>
          </w:p>
        </w:tc>
      </w:tr>
      <w:tr w:rsidR="006B2E81" w:rsidRPr="002939B0" w14:paraId="3FD9AB54" w14:textId="77777777" w:rsidTr="00B57F24">
        <w:tc>
          <w:tcPr>
            <w:tcW w:w="2508" w:type="pct"/>
          </w:tcPr>
          <w:p w14:paraId="519ABCED" w14:textId="79936FE3" w:rsidR="006B2E81" w:rsidRPr="002939B0" w:rsidRDefault="006B2E81" w:rsidP="00452F4D">
            <w:pPr>
              <w:pStyle w:val="V-tablebullet2"/>
            </w:pPr>
            <w:r>
              <w:t>To evaluate the safety and tolerability of treatment</w:t>
            </w:r>
            <w:r>
              <w:rPr>
                <w:spacing w:val="-8"/>
              </w:rPr>
              <w:t xml:space="preserve"> </w:t>
            </w:r>
            <w:r>
              <w:t>with</w:t>
            </w:r>
            <w:r>
              <w:rPr>
                <w:spacing w:val="-9"/>
              </w:rPr>
              <w:t xml:space="preserve"> </w:t>
            </w:r>
            <w:r>
              <w:t>DRUG‑123</w:t>
            </w:r>
            <w:r>
              <w:rPr>
                <w:spacing w:val="-11"/>
              </w:rPr>
              <w:t xml:space="preserve"> </w:t>
            </w:r>
            <w:r>
              <w:t>versus placebo in combination with platinum-based chemotherapy.</w:t>
            </w:r>
          </w:p>
        </w:tc>
        <w:tc>
          <w:tcPr>
            <w:tcW w:w="2492" w:type="pct"/>
          </w:tcPr>
          <w:p w14:paraId="384EBDF1" w14:textId="77777777" w:rsidR="006B2E81" w:rsidRPr="002939B0" w:rsidRDefault="006B2E81" w:rsidP="00452F4D">
            <w:pPr>
              <w:pStyle w:val="V-tablebullet1"/>
            </w:pPr>
            <w:r>
              <w:t>The</w:t>
            </w:r>
            <w:r>
              <w:rPr>
                <w:spacing w:val="-5"/>
              </w:rPr>
              <w:t xml:space="preserve"> </w:t>
            </w:r>
            <w:r>
              <w:t>incidence</w:t>
            </w:r>
            <w:r>
              <w:rPr>
                <w:spacing w:val="-6"/>
              </w:rPr>
              <w:t xml:space="preserve"> </w:t>
            </w:r>
            <w:r>
              <w:t>and</w:t>
            </w:r>
            <w:r>
              <w:rPr>
                <w:spacing w:val="-5"/>
              </w:rPr>
              <w:t xml:space="preserve"> </w:t>
            </w:r>
            <w:r>
              <w:t>severity</w:t>
            </w:r>
            <w:r>
              <w:rPr>
                <w:spacing w:val="-7"/>
              </w:rPr>
              <w:t xml:space="preserve"> </w:t>
            </w:r>
            <w:r>
              <w:t>of</w:t>
            </w:r>
            <w:r>
              <w:rPr>
                <w:spacing w:val="-5"/>
              </w:rPr>
              <w:t xml:space="preserve"> </w:t>
            </w:r>
            <w:r>
              <w:t>TEAEs,</w:t>
            </w:r>
            <w:r>
              <w:rPr>
                <w:spacing w:val="-5"/>
              </w:rPr>
              <w:t xml:space="preserve"> </w:t>
            </w:r>
            <w:r>
              <w:t>TRAEs,</w:t>
            </w:r>
            <w:r>
              <w:rPr>
                <w:spacing w:val="-5"/>
              </w:rPr>
              <w:t xml:space="preserve"> </w:t>
            </w:r>
            <w:r>
              <w:t>SAEs, and clinically significant changes in vital signs, and clinical laboratory test values.</w:t>
            </w:r>
          </w:p>
        </w:tc>
      </w:tr>
      <w:tr w:rsidR="006B2E81" w:rsidRPr="002939B0" w14:paraId="678CECAC" w14:textId="77777777" w:rsidTr="00B57F24">
        <w:tc>
          <w:tcPr>
            <w:tcW w:w="2508" w:type="pct"/>
          </w:tcPr>
          <w:p w14:paraId="4439D075" w14:textId="56E6BCAD" w:rsidR="006B2E81" w:rsidRPr="002939B0" w:rsidRDefault="006B2E81" w:rsidP="00452F4D">
            <w:pPr>
              <w:pStyle w:val="V-tablebullet2"/>
              <w:rPr>
                <w:color w:val="000000"/>
                <w:shd w:val="clear" w:color="auto" w:fill="FEEC99"/>
              </w:rPr>
            </w:pPr>
            <w:r>
              <w:t>To characterize the PK of DRUG‑123 when</w:t>
            </w:r>
            <w:r>
              <w:rPr>
                <w:spacing w:val="-9"/>
              </w:rPr>
              <w:t xml:space="preserve"> </w:t>
            </w:r>
            <w:r>
              <w:t>administered</w:t>
            </w:r>
            <w:r>
              <w:rPr>
                <w:spacing w:val="-11"/>
              </w:rPr>
              <w:t xml:space="preserve"> </w:t>
            </w:r>
            <w:r>
              <w:t>in</w:t>
            </w:r>
            <w:r>
              <w:rPr>
                <w:spacing w:val="-9"/>
              </w:rPr>
              <w:t xml:space="preserve"> </w:t>
            </w:r>
            <w:r>
              <w:t>combination</w:t>
            </w:r>
            <w:r>
              <w:rPr>
                <w:spacing w:val="-9"/>
              </w:rPr>
              <w:t xml:space="preserve"> </w:t>
            </w:r>
            <w:r>
              <w:t>with platinum-based chemotherapy</w:t>
            </w:r>
          </w:p>
        </w:tc>
        <w:tc>
          <w:tcPr>
            <w:tcW w:w="2492" w:type="pct"/>
          </w:tcPr>
          <w:p w14:paraId="78FEF1BE" w14:textId="151A7322" w:rsidR="006B2E81" w:rsidRPr="002939B0" w:rsidRDefault="006B2E81" w:rsidP="00452F4D">
            <w:pPr>
              <w:pStyle w:val="V-tablebullet1"/>
              <w:rPr>
                <w:color w:val="000000"/>
                <w:shd w:val="clear" w:color="auto" w:fill="FEEC99"/>
              </w:rPr>
            </w:pPr>
            <w:r>
              <w:t>Predose</w:t>
            </w:r>
            <w:r>
              <w:rPr>
                <w:spacing w:val="-3"/>
              </w:rPr>
              <w:t xml:space="preserve"> </w:t>
            </w:r>
            <w:r>
              <w:t>and</w:t>
            </w:r>
            <w:r>
              <w:rPr>
                <w:spacing w:val="-6"/>
              </w:rPr>
              <w:t xml:space="preserve"> </w:t>
            </w:r>
            <w:r>
              <w:t>postdose</w:t>
            </w:r>
            <w:r>
              <w:rPr>
                <w:spacing w:val="-3"/>
              </w:rPr>
              <w:t xml:space="preserve"> </w:t>
            </w:r>
            <w:r>
              <w:t>plasma</w:t>
            </w:r>
            <w:r>
              <w:rPr>
                <w:spacing w:val="-6"/>
              </w:rPr>
              <w:t xml:space="preserve"> </w:t>
            </w:r>
            <w:r>
              <w:t>concentrations</w:t>
            </w:r>
            <w:r>
              <w:rPr>
                <w:spacing w:val="-3"/>
              </w:rPr>
              <w:t xml:space="preserve"> </w:t>
            </w:r>
            <w:r>
              <w:t>of</w:t>
            </w:r>
            <w:r>
              <w:rPr>
                <w:spacing w:val="-4"/>
              </w:rPr>
              <w:t xml:space="preserve"> </w:t>
            </w:r>
            <w:r>
              <w:rPr>
                <w:spacing w:val="-2"/>
              </w:rPr>
              <w:t>DRUG‑123</w:t>
            </w:r>
          </w:p>
        </w:tc>
      </w:tr>
      <w:tr w:rsidR="006B2E81" w:rsidRPr="002939B0" w14:paraId="7DF2D596" w14:textId="77777777" w:rsidTr="00B57F24">
        <w:tc>
          <w:tcPr>
            <w:tcW w:w="2508" w:type="pct"/>
          </w:tcPr>
          <w:p w14:paraId="24607CD8" w14:textId="7C8D085F" w:rsidR="006B2E81" w:rsidRPr="002939B0" w:rsidRDefault="006B2E81" w:rsidP="00452F4D">
            <w:pPr>
              <w:pStyle w:val="V-tablebullet2"/>
            </w:pPr>
            <w:r>
              <w:t>To</w:t>
            </w:r>
            <w:r>
              <w:rPr>
                <w:spacing w:val="-5"/>
              </w:rPr>
              <w:t xml:space="preserve"> </w:t>
            </w:r>
            <w:r>
              <w:t>evaluate</w:t>
            </w:r>
            <w:r>
              <w:rPr>
                <w:spacing w:val="-5"/>
              </w:rPr>
              <w:t xml:space="preserve"> </w:t>
            </w:r>
            <w:r>
              <w:t>the</w:t>
            </w:r>
            <w:r>
              <w:rPr>
                <w:spacing w:val="-6"/>
              </w:rPr>
              <w:t xml:space="preserve"> </w:t>
            </w:r>
            <w:r>
              <w:t>PFS</w:t>
            </w:r>
            <w:r>
              <w:rPr>
                <w:spacing w:val="-7"/>
              </w:rPr>
              <w:t xml:space="preserve"> </w:t>
            </w:r>
            <w:r>
              <w:t>as</w:t>
            </w:r>
            <w:r>
              <w:rPr>
                <w:spacing w:val="-7"/>
              </w:rPr>
              <w:t xml:space="preserve"> </w:t>
            </w:r>
            <w:r>
              <w:t>assessed</w:t>
            </w:r>
            <w:r>
              <w:rPr>
                <w:spacing w:val="-5"/>
              </w:rPr>
              <w:t xml:space="preserve"> </w:t>
            </w:r>
            <w:r>
              <w:t>by</w:t>
            </w:r>
            <w:r>
              <w:rPr>
                <w:spacing w:val="-5"/>
              </w:rPr>
              <w:t xml:space="preserve"> </w:t>
            </w:r>
            <w:r>
              <w:t>the</w:t>
            </w:r>
            <w:r>
              <w:rPr>
                <w:spacing w:val="-3"/>
              </w:rPr>
              <w:t xml:space="preserve"> </w:t>
            </w:r>
            <w:r>
              <w:t>Investigator of treatment with DRUG‑123 versus placebo in combination with platinum-based chemotherapy.</w:t>
            </w:r>
          </w:p>
        </w:tc>
        <w:tc>
          <w:tcPr>
            <w:tcW w:w="2492" w:type="pct"/>
          </w:tcPr>
          <w:p w14:paraId="24A235B3" w14:textId="77777777" w:rsidR="006B2E81" w:rsidRPr="002939B0" w:rsidRDefault="006B2E81" w:rsidP="00452F4D">
            <w:pPr>
              <w:pStyle w:val="V-tablebullet1"/>
            </w:pPr>
            <w:r>
              <w:t>PFS</w:t>
            </w:r>
            <w:r>
              <w:rPr>
                <w:spacing w:val="-5"/>
              </w:rPr>
              <w:t xml:space="preserve"> </w:t>
            </w:r>
            <w:r>
              <w:t>as</w:t>
            </w:r>
            <w:r>
              <w:rPr>
                <w:spacing w:val="-4"/>
              </w:rPr>
              <w:t xml:space="preserve"> </w:t>
            </w:r>
            <w:r>
              <w:t>assessed</w:t>
            </w:r>
            <w:r>
              <w:rPr>
                <w:spacing w:val="-2"/>
              </w:rPr>
              <w:t xml:space="preserve"> </w:t>
            </w:r>
            <w:r>
              <w:t>by</w:t>
            </w:r>
            <w:r>
              <w:rPr>
                <w:spacing w:val="-2"/>
              </w:rPr>
              <w:t xml:space="preserve"> </w:t>
            </w:r>
            <w:r>
              <w:t>the</w:t>
            </w:r>
            <w:r>
              <w:rPr>
                <w:spacing w:val="-2"/>
              </w:rPr>
              <w:t xml:space="preserve"> Investigator.</w:t>
            </w:r>
          </w:p>
        </w:tc>
      </w:tr>
    </w:tbl>
    <w:p w14:paraId="48971847" w14:textId="3EAE9F08" w:rsidR="006B2E81" w:rsidRPr="00AA3039" w:rsidRDefault="006B2E81" w:rsidP="00452F4D">
      <w:pPr>
        <w:pStyle w:val="V-tablefootnote"/>
        <w:keepNext w:val="0"/>
        <w:keepLines w:val="0"/>
        <w:widowControl w:val="0"/>
      </w:pPr>
      <w:r>
        <w:t>Abbreviations: BICR=blinded independent central review; CR=complete response; DOR=duration of response; ORR=objective response rate; OS=overall survival; PFS=progression-free survival; PK=pharmacokinetic; PR=partial response; RECIST v1.1=Response Evaluation Criteria in Solid Tumors version 1.1; SAE=serious adverse event; TEAE=treatment-emergent adverse event; TRAE=treatment-related treatment-emergent adverse event</w:t>
      </w:r>
      <w:r w:rsidR="00452F4D">
        <w:t>.</w:t>
      </w:r>
    </w:p>
    <w:p w14:paraId="1F7BBA4D" w14:textId="77777777" w:rsidR="008F65FC" w:rsidRDefault="00000000" w:rsidP="005552F9">
      <w:pPr>
        <w:pStyle w:val="V-heading3"/>
      </w:pPr>
      <w:r>
        <w:lastRenderedPageBreak/>
        <w:t>Overall Design and Population</w:t>
      </w:r>
    </w:p>
    <w:p w14:paraId="37781112" w14:textId="77777777" w:rsidR="00833BB7" w:rsidRDefault="00000000">
      <w:pPr>
        <w:pStyle w:val="V-Example"/>
      </w:pPr>
      <w:r>
        <w:t>This is a Phase 3, randomized, double-blind, placebo-controlled, multicenter study of DRUG‑123 versus placebo, each added to platinum-based chemotherapy, in approximately 600 adults with the disease. Patients are randomized 1:1 and stratified by [stratification factor 1], [stratification factor 2], and [stratification factor 3]</w:t>
      </w:r>
      <w:r w:rsidR="00AA3039">
        <w:t xml:space="preserve">. </w:t>
      </w:r>
    </w:p>
    <w:p w14:paraId="38972A94" w14:textId="08D5EE45" w:rsidR="00452F4D" w:rsidRPr="00452F4D" w:rsidRDefault="00452F4D" w:rsidP="00452F4D">
      <w:pPr>
        <w:pStyle w:val="V-Example"/>
      </w:pPr>
      <w:r w:rsidRPr="00452F4D">
        <w:t xml:space="preserve">To be eligible to participate in this study, an individual must meet all of the inclusion criteria and none of the exclusion criteria. </w:t>
      </w:r>
    </w:p>
    <w:p w14:paraId="68A6DD15" w14:textId="7CD67545" w:rsidR="008F65FC" w:rsidRDefault="00833BB7" w:rsidP="00833BB7">
      <w:pPr>
        <w:pStyle w:val="V-heading3"/>
      </w:pPr>
      <w:r>
        <w:t xml:space="preserve">Study Population </w:t>
      </w:r>
    </w:p>
    <w:p w14:paraId="647C68E9" w14:textId="77777777" w:rsidR="00AA75B0" w:rsidRPr="00452F4D" w:rsidRDefault="00000000" w:rsidP="00452F4D">
      <w:pPr>
        <w:pStyle w:val="V-BodyText"/>
        <w:rPr>
          <w:b/>
          <w:bCs/>
        </w:rPr>
      </w:pPr>
      <w:r w:rsidRPr="00452F4D">
        <w:rPr>
          <w:b/>
          <w:bCs/>
        </w:rPr>
        <w:t>Inclusion Criteria</w:t>
      </w:r>
    </w:p>
    <w:p w14:paraId="13D19D45" w14:textId="77777777" w:rsidR="00AA75B0" w:rsidRDefault="00000000" w:rsidP="005552F9">
      <w:pPr>
        <w:pStyle w:val="V-NumberedList1"/>
        <w:numPr>
          <w:ilvl w:val="0"/>
          <w:numId w:val="48"/>
        </w:numPr>
      </w:pPr>
      <w:r>
        <w:t>Provides written informed consent before any study-specific procedure.</w:t>
      </w:r>
    </w:p>
    <w:p w14:paraId="6B8B25BF" w14:textId="77777777" w:rsidR="00AA75B0" w:rsidRDefault="00000000">
      <w:pPr>
        <w:pStyle w:val="V-NumberedList1"/>
        <w:numPr>
          <w:ilvl w:val="0"/>
          <w:numId w:val="38"/>
        </w:numPr>
      </w:pPr>
      <w:r>
        <w:t>Is ≥ 18 years of age (or the local age of majority, whichever is older) at the time of consent.</w:t>
      </w:r>
    </w:p>
    <w:p w14:paraId="54340DBE" w14:textId="77777777" w:rsidR="00AA75B0" w:rsidRDefault="00000000">
      <w:pPr>
        <w:pStyle w:val="V-NumberedList1"/>
        <w:numPr>
          <w:ilvl w:val="0"/>
          <w:numId w:val="38"/>
        </w:numPr>
      </w:pPr>
      <w:r>
        <w:t>Has histologically confirmed persistent, recurrent, or metastatic disease that is not amenable to curative treatment with surgery or radiation.</w:t>
      </w:r>
    </w:p>
    <w:p w14:paraId="6C000784" w14:textId="4E298FE3" w:rsidR="00AA75B0" w:rsidRDefault="00000000">
      <w:pPr>
        <w:pStyle w:val="V-NumberedList1"/>
        <w:numPr>
          <w:ilvl w:val="0"/>
          <w:numId w:val="38"/>
        </w:numPr>
      </w:pPr>
      <w:r>
        <w:t>Has received one prior line of systemic therapy for advanced or metastatic disease and has documented radiographic progression during or after that therapy; treatment given with curative intent in the localized setting does not count as a prior line.</w:t>
      </w:r>
    </w:p>
    <w:p w14:paraId="582D3675" w14:textId="77777777" w:rsidR="00AA75B0" w:rsidRDefault="00000000">
      <w:pPr>
        <w:pStyle w:val="V-NumberedList1"/>
        <w:numPr>
          <w:ilvl w:val="0"/>
          <w:numId w:val="38"/>
        </w:numPr>
      </w:pPr>
      <w:r>
        <w:t>Has measurable disease per RECIST v1.1.</w:t>
      </w:r>
    </w:p>
    <w:p w14:paraId="598F08BC" w14:textId="77777777" w:rsidR="00AA75B0" w:rsidRDefault="00000000">
      <w:pPr>
        <w:pStyle w:val="V-NumberedList1"/>
        <w:numPr>
          <w:ilvl w:val="0"/>
          <w:numId w:val="38"/>
        </w:numPr>
      </w:pPr>
      <w:r>
        <w:t>Has an ECOG performance status of 0 or 1.</w:t>
      </w:r>
    </w:p>
    <w:p w14:paraId="5F4EF328" w14:textId="77777777" w:rsidR="00AA75B0" w:rsidRDefault="00000000">
      <w:pPr>
        <w:pStyle w:val="V-NumberedList1"/>
        <w:numPr>
          <w:ilvl w:val="0"/>
          <w:numId w:val="38"/>
        </w:numPr>
      </w:pPr>
      <w:r>
        <w:t>Has a tumor sample available for biomarker assessment and consents to its use.</w:t>
      </w:r>
    </w:p>
    <w:p w14:paraId="72D31DB8" w14:textId="77777777" w:rsidR="00AA75B0" w:rsidRDefault="00000000">
      <w:pPr>
        <w:pStyle w:val="V-NumberedList1"/>
        <w:numPr>
          <w:ilvl w:val="0"/>
          <w:numId w:val="38"/>
        </w:numPr>
      </w:pPr>
      <w:r>
        <w:t>Has adequate organ and bone marrow function within the protocol-specified window before randomization, defined by the following:</w:t>
      </w:r>
    </w:p>
    <w:p w14:paraId="007801A0" w14:textId="77777777" w:rsidR="00327122" w:rsidRDefault="00000000">
      <w:pPr>
        <w:pStyle w:val="V-NumberedList1"/>
        <w:numPr>
          <w:ilvl w:val="1"/>
          <w:numId w:val="38"/>
        </w:numPr>
      </w:pPr>
      <w:r>
        <w:t>Absolute neutrophil count ≥ 1.5 × 10⁹/L without granulocyte colony-stimulating factor (G-CSF) support within 7 days.</w:t>
      </w:r>
    </w:p>
    <w:p w14:paraId="007801A1" w14:textId="77777777" w:rsidR="00327122" w:rsidRDefault="00000000">
      <w:pPr>
        <w:pStyle w:val="V-NumberedList1"/>
        <w:numPr>
          <w:ilvl w:val="1"/>
          <w:numId w:val="38"/>
        </w:numPr>
      </w:pPr>
      <w:r>
        <w:t>Platelet count ≥ 100 × 10⁹/L without transfusion within the prior week.</w:t>
      </w:r>
    </w:p>
    <w:p w14:paraId="007801A2" w14:textId="77777777" w:rsidR="00327122" w:rsidRDefault="00000000">
      <w:pPr>
        <w:pStyle w:val="V-NumberedList1"/>
        <w:numPr>
          <w:ilvl w:val="1"/>
          <w:numId w:val="38"/>
        </w:numPr>
      </w:pPr>
      <w:r>
        <w:t>Hemoglobin ≥ 9 g/dL.</w:t>
      </w:r>
    </w:p>
    <w:p w14:paraId="007801A3" w14:textId="77777777" w:rsidR="00327122" w:rsidRDefault="00000000">
      <w:pPr>
        <w:pStyle w:val="V-NumberedList1"/>
        <w:numPr>
          <w:ilvl w:val="1"/>
          <w:numId w:val="38"/>
        </w:numPr>
      </w:pPr>
      <w:r>
        <w:t>Total bilirubin ≤ 1.5 × the upper limit of normal (ULN), except in Gilbert syndrome.</w:t>
      </w:r>
    </w:p>
    <w:p w14:paraId="007801A4" w14:textId="77777777" w:rsidR="00327122" w:rsidRDefault="00000000">
      <w:pPr>
        <w:pStyle w:val="V-NumberedList1"/>
        <w:numPr>
          <w:ilvl w:val="1"/>
          <w:numId w:val="38"/>
        </w:numPr>
      </w:pPr>
      <w:r>
        <w:t>Aspartate aminotransferase and alanine aminotransferase ≤ 3 × ULN (≤ 5 × ULN with liver metastases).</w:t>
      </w:r>
    </w:p>
    <w:p w14:paraId="007801A5" w14:textId="77777777" w:rsidR="00327122" w:rsidRDefault="00000000">
      <w:pPr>
        <w:pStyle w:val="V-NumberedList1"/>
        <w:numPr>
          <w:ilvl w:val="1"/>
          <w:numId w:val="38"/>
        </w:numPr>
      </w:pPr>
      <w:r>
        <w:t>Adequate renal function, met by either of the following:</w:t>
      </w:r>
    </w:p>
    <w:p w14:paraId="5551637B" w14:textId="77777777" w:rsidR="00327122" w:rsidRDefault="00000000">
      <w:pPr>
        <w:pStyle w:val="V-NumberedList1"/>
        <w:numPr>
          <w:ilvl w:val="2"/>
          <w:numId w:val="38"/>
        </w:numPr>
      </w:pPr>
      <w:r>
        <w:t>serum creatinine ≤ 1.5 × ULN; or</w:t>
      </w:r>
    </w:p>
    <w:p w14:paraId="2E625BFF" w14:textId="77777777" w:rsidR="00327122" w:rsidRDefault="00000000">
      <w:pPr>
        <w:pStyle w:val="V-NumberedList1"/>
        <w:numPr>
          <w:ilvl w:val="2"/>
          <w:numId w:val="38"/>
        </w:numPr>
      </w:pPr>
      <w:r>
        <w:t>calculated creatinine clearance of ≥ 50 mL/min by the Cockcroft-Gault formula.</w:t>
      </w:r>
    </w:p>
    <w:p w14:paraId="0E701836" w14:textId="77777777" w:rsidR="00327122" w:rsidRDefault="00000000">
      <w:pPr>
        <w:pStyle w:val="V-NumberedList1"/>
        <w:numPr>
          <w:ilvl w:val="1"/>
          <w:numId w:val="38"/>
        </w:numPr>
      </w:pPr>
      <w:r>
        <w:lastRenderedPageBreak/>
        <w:t>International normalized ratio and activated partial thromboplastin time ≤ 1.5 × ULN, unless on stable anticoagulation.</w:t>
      </w:r>
    </w:p>
    <w:p w14:paraId="28281408" w14:textId="14947DB1" w:rsidR="00AA75B0" w:rsidRDefault="00000000">
      <w:pPr>
        <w:pStyle w:val="V-NumberedList1"/>
        <w:numPr>
          <w:ilvl w:val="0"/>
          <w:numId w:val="38"/>
        </w:numPr>
      </w:pPr>
      <w:r>
        <w:t xml:space="preserve">If a woman of childbearing potential, has a negative serum pregnancy test before randomization and agrees to the contraception requirements in </w:t>
      </w:r>
      <w:hyperlink w:anchor="_Toc233740288" w:history="1">
        <w:r w:rsidRPr="00B47972">
          <w:rPr>
            <w:rStyle w:val="Hyperlink"/>
            <w:u w:val="single"/>
          </w:rPr>
          <w:t>Section 5.6</w:t>
        </w:r>
      </w:hyperlink>
      <w:r>
        <w:t>; if a man with a partner of childbearing potential, agrees to the contraception requirements in Section 5.6.</w:t>
      </w:r>
    </w:p>
    <w:p w14:paraId="6FC93F21" w14:textId="4DE11498" w:rsidR="00987BEB" w:rsidRPr="00987BEB" w:rsidRDefault="00000000" w:rsidP="00987BEB">
      <w:pPr>
        <w:pStyle w:val="V-NumberedList1"/>
        <w:numPr>
          <w:ilvl w:val="0"/>
          <w:numId w:val="38"/>
        </w:numPr>
      </w:pPr>
      <w:r>
        <w:t>Is able and willing to comply with the protocol.</w:t>
      </w:r>
    </w:p>
    <w:p w14:paraId="0B8D2C00" w14:textId="77777777" w:rsidR="00AA75B0" w:rsidRPr="00452F4D" w:rsidRDefault="00000000" w:rsidP="00452F4D">
      <w:pPr>
        <w:pStyle w:val="V-BodyText"/>
        <w:rPr>
          <w:b/>
          <w:bCs/>
        </w:rPr>
      </w:pPr>
      <w:r w:rsidRPr="00452F4D">
        <w:rPr>
          <w:b/>
          <w:bCs/>
        </w:rPr>
        <w:t>Exclusion Criteria</w:t>
      </w:r>
    </w:p>
    <w:p w14:paraId="41DDA224" w14:textId="3F609B8A" w:rsidR="00AA75B0" w:rsidRDefault="00000000" w:rsidP="005552F9">
      <w:pPr>
        <w:pStyle w:val="V-NumberedList1"/>
        <w:numPr>
          <w:ilvl w:val="0"/>
          <w:numId w:val="49"/>
        </w:numPr>
      </w:pPr>
      <w:r>
        <w:t>Has received more than one prior line of systemic therapy for advanced or metastatic disease.</w:t>
      </w:r>
    </w:p>
    <w:p w14:paraId="6EA20402" w14:textId="77777777" w:rsidR="00AA75B0" w:rsidRDefault="00000000">
      <w:pPr>
        <w:pStyle w:val="V-NumberedList1"/>
        <w:numPr>
          <w:ilvl w:val="0"/>
          <w:numId w:val="39"/>
        </w:numPr>
      </w:pPr>
      <w:r>
        <w:t>Has a known contraindication to platinum-based chemotherapy or to any planned combination agent.</w:t>
      </w:r>
    </w:p>
    <w:p w14:paraId="5880C520" w14:textId="77777777" w:rsidR="00AA75B0" w:rsidRDefault="00000000">
      <w:pPr>
        <w:pStyle w:val="V-NumberedList1"/>
        <w:numPr>
          <w:ilvl w:val="0"/>
          <w:numId w:val="39"/>
        </w:numPr>
      </w:pPr>
      <w:r>
        <w:t>Has untreated or symptomatic central nervous system metastases; patients with treated, stable metastases off corticosteroids for the protocol-specified period are eligible.</w:t>
      </w:r>
    </w:p>
    <w:p w14:paraId="5F1734F7" w14:textId="77777777" w:rsidR="00AA75B0" w:rsidRDefault="00000000">
      <w:pPr>
        <w:pStyle w:val="V-NumberedList1"/>
        <w:numPr>
          <w:ilvl w:val="0"/>
          <w:numId w:val="39"/>
        </w:numPr>
      </w:pPr>
      <w:r>
        <w:t>Has clinically significant or uncontrolled cardiovascular disease, or a corrected QT interval above the protocol-specified threshold.</w:t>
      </w:r>
    </w:p>
    <w:p w14:paraId="1857C77E" w14:textId="77777777" w:rsidR="00AA75B0" w:rsidRDefault="00000000">
      <w:pPr>
        <w:pStyle w:val="V-NumberedList1"/>
        <w:numPr>
          <w:ilvl w:val="0"/>
          <w:numId w:val="39"/>
        </w:numPr>
      </w:pPr>
      <w:r>
        <w:t>Has an active infection requiring systemic therapy, or known human immunodeficiency virus infection or active hepatitis B or hepatitis C infection.</w:t>
      </w:r>
    </w:p>
    <w:p w14:paraId="7A8CE57E" w14:textId="77777777" w:rsidR="00AA75B0" w:rsidRDefault="00000000">
      <w:pPr>
        <w:pStyle w:val="V-NumberedList1"/>
        <w:numPr>
          <w:ilvl w:val="0"/>
          <w:numId w:val="39"/>
        </w:numPr>
      </w:pPr>
      <w:r>
        <w:t>Has a second malignancy that required treatment within the protocol-specified period, other than adequately treated in situ disease or another cancer treated with curative intent and without evidence of disease.</w:t>
      </w:r>
    </w:p>
    <w:p w14:paraId="0A4CFFDF" w14:textId="77777777" w:rsidR="00AA75B0" w:rsidRDefault="00000000">
      <w:pPr>
        <w:pStyle w:val="V-NumberedList1"/>
        <w:numPr>
          <w:ilvl w:val="0"/>
          <w:numId w:val="39"/>
        </w:numPr>
      </w:pPr>
      <w:r>
        <w:t>Has known hypersensitivity to DRUG‑123 or to any excipient of the formulation, or to the planned chemotherapy agents.</w:t>
      </w:r>
    </w:p>
    <w:p w14:paraId="4700D378" w14:textId="77777777" w:rsidR="00AA75B0" w:rsidRDefault="00000000">
      <w:pPr>
        <w:pStyle w:val="V-NumberedList1"/>
        <w:numPr>
          <w:ilvl w:val="0"/>
          <w:numId w:val="39"/>
        </w:numPr>
      </w:pPr>
      <w:r>
        <w:t>Has a condition requiring chronic systemic immunosuppression that, in the Investigator's judgment, would confound the safety assessment.</w:t>
      </w:r>
    </w:p>
    <w:p w14:paraId="05BD8B0C" w14:textId="77777777" w:rsidR="00AA75B0" w:rsidRDefault="00000000">
      <w:pPr>
        <w:pStyle w:val="V-NumberedList1"/>
        <w:numPr>
          <w:ilvl w:val="0"/>
          <w:numId w:val="39"/>
        </w:numPr>
      </w:pPr>
      <w:r>
        <w:t>Is pregnant or breastfeeding.</w:t>
      </w:r>
    </w:p>
    <w:p w14:paraId="538C06C7" w14:textId="77777777" w:rsidR="00AA75B0" w:rsidRDefault="00000000">
      <w:pPr>
        <w:pStyle w:val="V-NumberedList1"/>
        <w:numPr>
          <w:ilvl w:val="0"/>
          <w:numId w:val="39"/>
        </w:numPr>
      </w:pPr>
      <w:r>
        <w:t>Has any condition that, in the Investigator's judgment, would interfere with participation or with interpretation of the study results.</w:t>
      </w:r>
    </w:p>
    <w:p w14:paraId="3DECDBB5" w14:textId="77777777" w:rsidR="00EC11F7" w:rsidRDefault="00000000" w:rsidP="005552F9">
      <w:pPr>
        <w:pStyle w:val="V-heading3"/>
      </w:pPr>
      <w:r>
        <w:t>Statistical Methods</w:t>
      </w:r>
    </w:p>
    <w:p w14:paraId="42B5794F" w14:textId="77777777" w:rsidR="00EC11F7" w:rsidRPr="00F614C8" w:rsidRDefault="00000000" w:rsidP="00F614C8">
      <w:pPr>
        <w:pStyle w:val="V-Example"/>
      </w:pPr>
      <w:r w:rsidRPr="00F614C8">
        <w:t>The primary objective is to compare progression-free survival (PFS) by investigator assessment per RECIST v1.1 between DRUG‑123 plus chemotherapy and placebo plus chemotherapy. Efficacy analyses use the intention-to-treat set (all randomized patients, analyzed by randomized assignment); safety analyses use the as-treated set (all patients who receive any study treatment, analyzed by treatment received).</w:t>
      </w:r>
    </w:p>
    <w:p w14:paraId="46FB9B46" w14:textId="77777777" w:rsidR="00EC11F7" w:rsidRPr="00F614C8" w:rsidRDefault="00000000" w:rsidP="00F614C8">
      <w:pPr>
        <w:pStyle w:val="V-Example"/>
      </w:pPr>
      <w:r w:rsidRPr="00F614C8">
        <w:lastRenderedPageBreak/>
        <w:t>The primary estimand uses a treatment-policy strategy for intercurrent events: PFS is compared regardless of treatment discontinuation or subsequent anticancer therapy, with the only exception handled by the protocol-specified censoring rules in the intercurrent-event strategy of the estimand table (Table 9). PFS is estimated by the Kaplan-Meier method and compared with a stratified log-rank test using the randomization stratification factors; the hazard ratio and its 95% confidence interval are estimated from a stratified Cox proportional-hazards model. Overall survival, the key secondary endpoint, is tested only if the primary comparison is significant.</w:t>
      </w:r>
    </w:p>
    <w:p w14:paraId="3D80A286" w14:textId="77777777" w:rsidR="00EC11F7" w:rsidRPr="00F614C8" w:rsidRDefault="00000000" w:rsidP="00F614C8">
      <w:pPr>
        <w:pStyle w:val="V-Example"/>
      </w:pPr>
      <w:r w:rsidRPr="00F614C8">
        <w:t>Type I error is controlled at two-sided α = 0.05 across the primary and key secondary endpoints by a hierarchical (fixed-sequence) testing procedure, with the overall-survival comparison evaluated at prespecified interim and final analyses governed by an O'Brien-Fleming spending function. Secondary and exploratory endpoints are summarized descriptively, with confidence intervals reported without multiplicity adjustment.</w:t>
      </w:r>
    </w:p>
    <w:p w14:paraId="0AE7BD35" w14:textId="77777777" w:rsidR="00EC11F7" w:rsidRDefault="00000000" w:rsidP="005552F9">
      <w:pPr>
        <w:pStyle w:val="V-heading3"/>
      </w:pPr>
      <w:r>
        <w:t>Sample Size</w:t>
      </w:r>
    </w:p>
    <w:p w14:paraId="77525B83" w14:textId="682EDD77" w:rsidR="00EC11F7" w:rsidRDefault="00000000" w:rsidP="00F614C8">
      <w:pPr>
        <w:pStyle w:val="V-Example"/>
      </w:pPr>
      <w:r w:rsidRPr="00F614C8">
        <w:t>Approximately 600 patients are randomized 1:1. The sample size is event-driven: the primary PFS analysis is performed after the protocol-specified target number of PFS events, which provides ≥ 90% power to detect the assumed hazard ratio at a two-sided significance level of 0.05, allowing for the planned interim analysis and an anticipated dropout rate. The assumed control-arm median PFS, target hazard ratio, accrual period, and event count are stated in full in Section 10.6 and are the principal parameters a Sponsor adapts to its own setting.</w:t>
      </w:r>
      <w:r w:rsidR="00833BB7" w:rsidRPr="00F614C8">
        <w:t xml:space="preserve"> </w:t>
      </w:r>
    </w:p>
    <w:p w14:paraId="02F59FF7" w14:textId="7FA41FE7" w:rsidR="00B86B2B" w:rsidRDefault="00B86B2B">
      <w:pPr>
        <w:spacing w:before="0" w:after="0" w:line="240" w:lineRule="auto"/>
        <w:rPr>
          <w:i/>
          <w:color w:val="000000"/>
          <w:szCs w:val="24"/>
        </w:rPr>
      </w:pPr>
      <w:r>
        <w:br w:type="page"/>
      </w:r>
    </w:p>
    <w:p w14:paraId="2D8DB8D0" w14:textId="54DA1AA3" w:rsidR="008F65FC" w:rsidRDefault="00000000" w:rsidP="005552F9">
      <w:pPr>
        <w:pStyle w:val="V-heading2"/>
      </w:pPr>
      <w:bookmarkStart w:id="10" w:name="_Toc233801662"/>
      <w:r>
        <w:lastRenderedPageBreak/>
        <w:t>Study Schema</w:t>
      </w:r>
      <w:bookmarkEnd w:id="10"/>
    </w:p>
    <w:p w14:paraId="30F7BF95" w14:textId="26B7AE5E" w:rsidR="008F65FC" w:rsidRDefault="00000000">
      <w:pPr>
        <w:pStyle w:val="V-Guidance"/>
      </w:pPr>
      <w:r>
        <w:t xml:space="preserve">ICH M11 §1.2. Provide a single-page graphic of the study design (periods, arms, randomization or escalation, key visits, decision points). </w:t>
      </w:r>
    </w:p>
    <w:p w14:paraId="0F15ABEE" w14:textId="7E5048E0" w:rsidR="008F65FC" w:rsidRDefault="00E2799B" w:rsidP="00B86B2B">
      <w:pPr>
        <w:pStyle w:val="Caption"/>
        <w:ind w:left="1440" w:hanging="1440"/>
      </w:pPr>
      <w:bookmarkStart w:id="11" w:name="_Toc233620078"/>
      <w:bookmarkEnd w:id="11"/>
      <w:r>
        <w:t>Figure</w:t>
      </w:r>
      <w:r w:rsidR="00B86B2B">
        <w:t> </w:t>
      </w:r>
      <w:r>
        <w:t>1:</w:t>
      </w:r>
      <w:r>
        <w:tab/>
        <w:t>Study Schema</w:t>
      </w:r>
      <w:r w:rsidR="008F65FC">
        <w:rPr>
          <w:noProof/>
        </w:rPr>
        <w:drawing>
          <wp:anchor distT="0" distB="0" distL="114300" distR="114300" simplePos="0" relativeHeight="251658240" behindDoc="0" locked="0" layoutInCell="1" allowOverlap="1" wp14:anchorId="6C9807BE" wp14:editId="60D516D0">
            <wp:simplePos x="0" y="0"/>
            <wp:positionH relativeFrom="column">
              <wp:posOffset>227279</wp:posOffset>
            </wp:positionH>
            <wp:positionV relativeFrom="paragraph">
              <wp:posOffset>592587</wp:posOffset>
            </wp:positionV>
            <wp:extent cx="5486400" cy="4785360"/>
            <wp:effectExtent l="0" t="0" r="0" b="2540"/>
            <wp:wrapSquare wrapText="bothSides"/>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Schema_Example2_Phas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4785360"/>
                    </a:xfrm>
                    <a:prstGeom prst="rect">
                      <a:avLst/>
                    </a:prstGeom>
                  </pic:spPr>
                </pic:pic>
              </a:graphicData>
            </a:graphic>
            <wp14:sizeRelH relativeFrom="page">
              <wp14:pctWidth>0</wp14:pctWidth>
            </wp14:sizeRelH>
            <wp14:sizeRelV relativeFrom="page">
              <wp14:pctHeight>0</wp14:pctHeight>
            </wp14:sizeRelV>
          </wp:anchor>
        </w:drawing>
      </w:r>
      <w:bookmarkStart w:id="12" w:name="_Toc233620079"/>
      <w:bookmarkEnd w:id="12"/>
    </w:p>
    <w:p w14:paraId="03E8693F" w14:textId="77777777" w:rsidR="00B86B2B" w:rsidRDefault="00B86B2B">
      <w:pPr>
        <w:spacing w:before="0" w:after="0" w:line="240" w:lineRule="auto"/>
        <w:rPr>
          <w:rFonts w:eastAsiaTheme="majorEastAsia" w:cstheme="majorBidi"/>
          <w:b/>
          <w:szCs w:val="26"/>
        </w:rPr>
        <w:sectPr w:rsidR="00B86B2B" w:rsidSect="00B86B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formProt w:val="0"/>
          <w:docGrid w:linePitch="360"/>
        </w:sectPr>
      </w:pPr>
    </w:p>
    <w:p w14:paraId="5BB94875" w14:textId="71A62C83" w:rsidR="008F65FC" w:rsidRDefault="00000000" w:rsidP="005552F9">
      <w:pPr>
        <w:pStyle w:val="V-heading2"/>
      </w:pPr>
      <w:bookmarkStart w:id="13" w:name="_Toc233801663"/>
      <w:r>
        <w:lastRenderedPageBreak/>
        <w:t>Schedule of Activities (SoA)</w:t>
      </w:r>
      <w:bookmarkEnd w:id="13"/>
    </w:p>
    <w:p w14:paraId="6E1DA6AA" w14:textId="63079E36" w:rsidR="008F65FC" w:rsidRDefault="00000000">
      <w:pPr>
        <w:pStyle w:val="V-Guidance"/>
      </w:pPr>
      <w:r>
        <w:t>ICH M11 §1.3. Tabulate procedures by visit and timepoint; use footnotes for visit windows and conditional procedures. A</w:t>
      </w:r>
      <w:r w:rsidR="00B86B2B">
        <w:t xml:space="preserve"> simple </w:t>
      </w:r>
      <w:r>
        <w:t xml:space="preserve">on-treatment schedule </w:t>
      </w:r>
      <w:r w:rsidR="00B86B2B">
        <w:t>is</w:t>
      </w:r>
      <w:r>
        <w:t xml:space="preserve"> provided</w:t>
      </w:r>
      <w:r w:rsidR="00F614C8">
        <w:t xml:space="preserve"> as </w:t>
      </w:r>
      <w:r w:rsidR="00B86B2B">
        <w:t xml:space="preserve">an </w:t>
      </w:r>
      <w:r w:rsidR="00F614C8">
        <w:t>examples</w:t>
      </w:r>
      <w:r w:rsidR="00B86B2B">
        <w:t>, add and remove rows as needed for this study. I</w:t>
      </w:r>
      <w:r w:rsidR="00F614C8">
        <w:t>nclude additional SOA tables, as needed</w:t>
      </w:r>
      <w:r>
        <w:t xml:space="preserve">. </w:t>
      </w:r>
    </w:p>
    <w:p w14:paraId="3C1731E2" w14:textId="7B68FA6A" w:rsidR="00B86B2B" w:rsidRPr="00B86B2B" w:rsidRDefault="00B86B2B" w:rsidP="00B86B2B">
      <w:pPr>
        <w:pStyle w:val="Caption"/>
      </w:pPr>
      <w:bookmarkStart w:id="14" w:name="_Ref233727784"/>
      <w:bookmarkStart w:id="15" w:name="_Toc233620069"/>
      <w:bookmarkStart w:id="16" w:name="_Ref233796718"/>
      <w:bookmarkStart w:id="17" w:name="_Toc233801732"/>
      <w:bookmarkEnd w:id="14"/>
      <w:bookmarkEnd w:id="15"/>
      <w:r>
        <w:t>Table </w:t>
      </w:r>
      <w:r>
        <w:fldChar w:fldCharType="begin"/>
      </w:r>
      <w:r>
        <w:instrText xml:space="preserve"> SEQ Table \* ARABIC </w:instrText>
      </w:r>
      <w:r>
        <w:fldChar w:fldCharType="separate"/>
      </w:r>
      <w:r w:rsidR="00272496">
        <w:rPr>
          <w:noProof/>
        </w:rPr>
        <w:t>1</w:t>
      </w:r>
      <w:r>
        <w:fldChar w:fldCharType="end"/>
      </w:r>
      <w:bookmarkEnd w:id="16"/>
      <w:r>
        <w:t>:</w:t>
      </w:r>
      <w:r>
        <w:tab/>
        <w:t>Schedule of Activities</w:t>
      </w:r>
      <w:bookmarkEnd w:id="1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1"/>
        <w:gridCol w:w="1349"/>
        <w:gridCol w:w="914"/>
        <w:gridCol w:w="914"/>
        <w:gridCol w:w="914"/>
        <w:gridCol w:w="1070"/>
        <w:gridCol w:w="1391"/>
        <w:gridCol w:w="1515"/>
        <w:gridCol w:w="1782"/>
      </w:tblGrid>
      <w:tr w:rsidR="00F614C8" w:rsidRPr="005552F9" w14:paraId="2683CB64" w14:textId="77777777" w:rsidTr="00B57F24">
        <w:trPr>
          <w:tblHeader/>
        </w:trPr>
        <w:tc>
          <w:tcPr>
            <w:tcW w:w="1197" w:type="pct"/>
            <w:vMerge w:val="restart"/>
            <w:vAlign w:val="bottom"/>
          </w:tcPr>
          <w:p w14:paraId="5DC97EA3" w14:textId="77777777" w:rsidR="00F614C8" w:rsidRPr="005552F9" w:rsidRDefault="00F614C8" w:rsidP="00F614C8">
            <w:pPr>
              <w:pStyle w:val="V-tableheader"/>
            </w:pPr>
            <w:r w:rsidRPr="005552F9">
              <w:t>Procedure</w:t>
            </w:r>
          </w:p>
        </w:tc>
        <w:tc>
          <w:tcPr>
            <w:tcW w:w="521" w:type="pct"/>
            <w:vMerge w:val="restart"/>
            <w:vAlign w:val="bottom"/>
          </w:tcPr>
          <w:p w14:paraId="160C1BF8" w14:textId="77777777" w:rsidR="00F614C8" w:rsidRPr="005552F9" w:rsidRDefault="00F614C8" w:rsidP="00F614C8">
            <w:pPr>
              <w:pStyle w:val="V-tableheader"/>
            </w:pPr>
            <w:r w:rsidRPr="005552F9">
              <w:t>Screening</w:t>
            </w:r>
          </w:p>
        </w:tc>
        <w:tc>
          <w:tcPr>
            <w:tcW w:w="1472" w:type="pct"/>
            <w:gridSpan w:val="4"/>
            <w:vAlign w:val="bottom"/>
          </w:tcPr>
          <w:p w14:paraId="6999C106" w14:textId="77777777" w:rsidR="00F614C8" w:rsidRPr="005552F9" w:rsidRDefault="00F614C8" w:rsidP="00F614C8">
            <w:pPr>
              <w:pStyle w:val="V-tableheader"/>
            </w:pPr>
            <w:r w:rsidRPr="005552F9">
              <w:t>Cycle 1</w:t>
            </w:r>
          </w:p>
        </w:tc>
        <w:tc>
          <w:tcPr>
            <w:tcW w:w="537" w:type="pct"/>
            <w:vAlign w:val="bottom"/>
          </w:tcPr>
          <w:p w14:paraId="4A8EEB68" w14:textId="3A07A450" w:rsidR="00F614C8" w:rsidRPr="005552F9" w:rsidRDefault="00F614C8" w:rsidP="00F614C8">
            <w:pPr>
              <w:pStyle w:val="V-tableheader"/>
            </w:pPr>
            <w:r w:rsidRPr="005552F9">
              <w:t>Cycle 2 and Beyond (each 28-day cycle)</w:t>
            </w:r>
          </w:p>
        </w:tc>
        <w:tc>
          <w:tcPr>
            <w:tcW w:w="585" w:type="pct"/>
            <w:vAlign w:val="bottom"/>
          </w:tcPr>
          <w:p w14:paraId="0DB731CF" w14:textId="50B43B88" w:rsidR="00F614C8" w:rsidRPr="005552F9" w:rsidRDefault="00F614C8" w:rsidP="00F614C8">
            <w:pPr>
              <w:pStyle w:val="V-tableheader"/>
            </w:pPr>
            <w:r w:rsidRPr="005552F9">
              <w:t>EOT</w:t>
            </w:r>
            <w:r w:rsidR="000D633D" w:rsidRPr="000D633D">
              <w:rPr>
                <w:vertAlign w:val="superscript"/>
              </w:rPr>
              <w:fldChar w:fldCharType="begin"/>
            </w:r>
            <w:r w:rsidR="000D633D" w:rsidRPr="000D633D">
              <w:rPr>
                <w:vertAlign w:val="superscript"/>
              </w:rPr>
              <w:instrText xml:space="preserve"> REF _Ref233800741 \n \h </w:instrText>
            </w:r>
            <w:r w:rsidR="000D633D">
              <w:rPr>
                <w:vertAlign w:val="superscript"/>
              </w:rPr>
              <w:instrText xml:space="preserve"> \* MERGEFORMAT </w:instrText>
            </w:r>
            <w:r w:rsidR="000D633D" w:rsidRPr="000D633D">
              <w:rPr>
                <w:vertAlign w:val="superscript"/>
              </w:rPr>
            </w:r>
            <w:r w:rsidR="000D633D" w:rsidRPr="000D633D">
              <w:rPr>
                <w:vertAlign w:val="superscript"/>
              </w:rPr>
              <w:fldChar w:fldCharType="separate"/>
            </w:r>
            <w:r w:rsidR="00272496" w:rsidRPr="00272496">
              <w:rPr>
                <w:color w:val="0000FF"/>
                <w:vertAlign w:val="superscript"/>
              </w:rPr>
              <w:t>c</w:t>
            </w:r>
            <w:r w:rsidR="000D633D" w:rsidRPr="000D633D">
              <w:rPr>
                <w:vertAlign w:val="superscript"/>
              </w:rPr>
              <w:fldChar w:fldCharType="end"/>
            </w:r>
          </w:p>
        </w:tc>
        <w:tc>
          <w:tcPr>
            <w:tcW w:w="688" w:type="pct"/>
            <w:vAlign w:val="bottom"/>
          </w:tcPr>
          <w:p w14:paraId="0F8E7733" w14:textId="463FE174" w:rsidR="00F614C8" w:rsidRPr="005552F9" w:rsidRDefault="00F614C8" w:rsidP="00F614C8">
            <w:pPr>
              <w:pStyle w:val="V-tableheader"/>
            </w:pPr>
            <w:r w:rsidRPr="005552F9">
              <w:t>Safety Follow Up</w:t>
            </w:r>
          </w:p>
        </w:tc>
      </w:tr>
      <w:tr w:rsidR="00F614C8" w:rsidRPr="005552F9" w14:paraId="643A5AA4" w14:textId="77777777" w:rsidTr="00B57F24">
        <w:trPr>
          <w:tblHeader/>
        </w:trPr>
        <w:tc>
          <w:tcPr>
            <w:tcW w:w="1197" w:type="pct"/>
            <w:vMerge/>
            <w:vAlign w:val="bottom"/>
          </w:tcPr>
          <w:p w14:paraId="291E8B0E" w14:textId="77777777" w:rsidR="00F614C8" w:rsidRPr="005552F9" w:rsidRDefault="00F614C8" w:rsidP="00F614C8">
            <w:pPr>
              <w:pStyle w:val="V-tableheader"/>
            </w:pPr>
          </w:p>
        </w:tc>
        <w:tc>
          <w:tcPr>
            <w:tcW w:w="521" w:type="pct"/>
            <w:vMerge/>
            <w:vAlign w:val="bottom"/>
          </w:tcPr>
          <w:p w14:paraId="13C955C1" w14:textId="77777777" w:rsidR="00F614C8" w:rsidRPr="005552F9" w:rsidRDefault="00F614C8" w:rsidP="00F614C8">
            <w:pPr>
              <w:pStyle w:val="V-tableheader"/>
            </w:pPr>
          </w:p>
        </w:tc>
        <w:tc>
          <w:tcPr>
            <w:tcW w:w="353" w:type="pct"/>
            <w:vAlign w:val="bottom"/>
          </w:tcPr>
          <w:p w14:paraId="2DEB9366" w14:textId="2D5CA0CE" w:rsidR="00F614C8" w:rsidRPr="005552F9" w:rsidRDefault="00F614C8" w:rsidP="00F614C8">
            <w:pPr>
              <w:pStyle w:val="V-tableheader"/>
            </w:pPr>
            <w:r w:rsidRPr="005552F9">
              <w:t>D1</w:t>
            </w:r>
            <w:r w:rsidR="000D633D">
              <w:t> </w:t>
            </w:r>
            <w:r w:rsidR="000D633D" w:rsidRPr="000D633D">
              <w:rPr>
                <w:vertAlign w:val="superscript"/>
              </w:rPr>
              <w:fldChar w:fldCharType="begin"/>
            </w:r>
            <w:r w:rsidR="000D633D" w:rsidRPr="000D633D">
              <w:rPr>
                <w:vertAlign w:val="superscript"/>
              </w:rPr>
              <w:instrText xml:space="preserve"> REF _Ref233800738 \n \h </w:instrText>
            </w:r>
            <w:r w:rsidR="000D633D">
              <w:rPr>
                <w:vertAlign w:val="superscript"/>
              </w:rPr>
              <w:instrText xml:space="preserve"> \* MERGEFORMAT </w:instrText>
            </w:r>
            <w:r w:rsidR="000D633D" w:rsidRPr="000D633D">
              <w:rPr>
                <w:vertAlign w:val="superscript"/>
              </w:rPr>
            </w:r>
            <w:r w:rsidR="000D633D" w:rsidRPr="000D633D">
              <w:rPr>
                <w:vertAlign w:val="superscript"/>
              </w:rPr>
              <w:fldChar w:fldCharType="separate"/>
            </w:r>
            <w:r w:rsidR="00272496" w:rsidRPr="00272496">
              <w:rPr>
                <w:color w:val="0000FF"/>
                <w:vertAlign w:val="superscript"/>
              </w:rPr>
              <w:t>a</w:t>
            </w:r>
            <w:r w:rsidR="000D633D" w:rsidRPr="000D633D">
              <w:rPr>
                <w:vertAlign w:val="superscript"/>
              </w:rPr>
              <w:fldChar w:fldCharType="end"/>
            </w:r>
          </w:p>
        </w:tc>
        <w:tc>
          <w:tcPr>
            <w:tcW w:w="353" w:type="pct"/>
            <w:vAlign w:val="bottom"/>
          </w:tcPr>
          <w:p w14:paraId="41827211" w14:textId="77777777" w:rsidR="00F614C8" w:rsidRPr="005552F9" w:rsidRDefault="00F614C8" w:rsidP="00F614C8">
            <w:pPr>
              <w:pStyle w:val="V-tableheader"/>
            </w:pPr>
            <w:r w:rsidRPr="005552F9">
              <w:t>D8</w:t>
            </w:r>
          </w:p>
        </w:tc>
        <w:tc>
          <w:tcPr>
            <w:tcW w:w="353" w:type="pct"/>
            <w:vAlign w:val="bottom"/>
          </w:tcPr>
          <w:p w14:paraId="445ED0FD" w14:textId="77777777" w:rsidR="00F614C8" w:rsidRPr="005552F9" w:rsidRDefault="00F614C8" w:rsidP="00F614C8">
            <w:pPr>
              <w:pStyle w:val="V-tableheader"/>
            </w:pPr>
            <w:r w:rsidRPr="005552F9">
              <w:t>D15</w:t>
            </w:r>
          </w:p>
        </w:tc>
        <w:tc>
          <w:tcPr>
            <w:tcW w:w="413" w:type="pct"/>
            <w:vAlign w:val="bottom"/>
          </w:tcPr>
          <w:p w14:paraId="04845973" w14:textId="52376E0C" w:rsidR="00F614C8" w:rsidRPr="005552F9" w:rsidRDefault="00F614C8" w:rsidP="00F614C8">
            <w:pPr>
              <w:pStyle w:val="V-tableheader"/>
            </w:pPr>
            <w:r w:rsidRPr="005552F9">
              <w:t>within 90 days of last dose</w:t>
            </w:r>
          </w:p>
        </w:tc>
        <w:tc>
          <w:tcPr>
            <w:tcW w:w="537" w:type="pct"/>
            <w:vAlign w:val="bottom"/>
          </w:tcPr>
          <w:p w14:paraId="64683497" w14:textId="5591D4DA" w:rsidR="00F614C8" w:rsidRPr="005552F9" w:rsidRDefault="00F614C8" w:rsidP="00F614C8">
            <w:pPr>
              <w:pStyle w:val="V-tableheader"/>
            </w:pPr>
            <w:r w:rsidRPr="005552F9">
              <w:t>D1</w:t>
            </w:r>
            <w:r w:rsidR="000D633D" w:rsidRPr="000D633D">
              <w:rPr>
                <w:vertAlign w:val="superscript"/>
              </w:rPr>
              <w:fldChar w:fldCharType="begin"/>
            </w:r>
            <w:r w:rsidR="000D633D" w:rsidRPr="000D633D">
              <w:rPr>
                <w:vertAlign w:val="superscript"/>
              </w:rPr>
              <w:instrText xml:space="preserve"> REF _Ref233800740 \n \h </w:instrText>
            </w:r>
            <w:r w:rsidR="000D633D">
              <w:rPr>
                <w:vertAlign w:val="superscript"/>
              </w:rPr>
              <w:instrText xml:space="preserve"> \* MERGEFORMAT </w:instrText>
            </w:r>
            <w:r w:rsidR="000D633D" w:rsidRPr="000D633D">
              <w:rPr>
                <w:vertAlign w:val="superscript"/>
              </w:rPr>
            </w:r>
            <w:r w:rsidR="000D633D" w:rsidRPr="000D633D">
              <w:rPr>
                <w:vertAlign w:val="superscript"/>
              </w:rPr>
              <w:fldChar w:fldCharType="separate"/>
            </w:r>
            <w:r w:rsidR="00272496" w:rsidRPr="00272496">
              <w:rPr>
                <w:color w:val="0000FF"/>
                <w:vertAlign w:val="superscript"/>
              </w:rPr>
              <w:t>b</w:t>
            </w:r>
            <w:r w:rsidR="000D633D" w:rsidRPr="000D633D">
              <w:rPr>
                <w:vertAlign w:val="superscript"/>
              </w:rPr>
              <w:fldChar w:fldCharType="end"/>
            </w:r>
          </w:p>
        </w:tc>
        <w:tc>
          <w:tcPr>
            <w:tcW w:w="585" w:type="pct"/>
            <w:vMerge w:val="restart"/>
            <w:vAlign w:val="bottom"/>
          </w:tcPr>
          <w:p w14:paraId="5018ADC2" w14:textId="1B7415EB" w:rsidR="00F614C8" w:rsidRPr="005552F9" w:rsidRDefault="00F614C8" w:rsidP="000D633D">
            <w:pPr>
              <w:pStyle w:val="V-tableheader"/>
            </w:pPr>
            <w:r w:rsidRPr="005552F9">
              <w:t>within</w:t>
            </w:r>
            <w:r w:rsidR="000D633D">
              <w:t xml:space="preserve"> 7</w:t>
            </w:r>
            <w:r w:rsidRPr="005552F9">
              <w:t> days of last dose</w:t>
            </w:r>
          </w:p>
        </w:tc>
        <w:tc>
          <w:tcPr>
            <w:tcW w:w="688" w:type="pct"/>
            <w:vAlign w:val="bottom"/>
          </w:tcPr>
          <w:p w14:paraId="25B88DB5" w14:textId="10C9E6FD" w:rsidR="00F614C8" w:rsidRPr="005552F9" w:rsidRDefault="00F614C8" w:rsidP="00F614C8">
            <w:pPr>
              <w:pStyle w:val="V-tableheader"/>
            </w:pPr>
            <w:r w:rsidRPr="005552F9">
              <w:t xml:space="preserve">within </w:t>
            </w:r>
            <w:r w:rsidR="000D633D">
              <w:t>3</w:t>
            </w:r>
            <w:r w:rsidRPr="005552F9">
              <w:t>0 days of last dose</w:t>
            </w:r>
          </w:p>
        </w:tc>
      </w:tr>
      <w:tr w:rsidR="00F614C8" w:rsidRPr="005552F9" w14:paraId="3D119A33" w14:textId="77777777" w:rsidTr="00B57F24">
        <w:trPr>
          <w:tblHeader/>
        </w:trPr>
        <w:tc>
          <w:tcPr>
            <w:tcW w:w="1197" w:type="pct"/>
            <w:vMerge/>
            <w:vAlign w:val="bottom"/>
          </w:tcPr>
          <w:p w14:paraId="2DB441BC" w14:textId="77777777" w:rsidR="00F614C8" w:rsidRPr="005552F9" w:rsidRDefault="00F614C8" w:rsidP="00F614C8">
            <w:pPr>
              <w:pStyle w:val="V-tableheader"/>
            </w:pPr>
          </w:p>
        </w:tc>
        <w:tc>
          <w:tcPr>
            <w:tcW w:w="521" w:type="pct"/>
            <w:vAlign w:val="bottom"/>
          </w:tcPr>
          <w:p w14:paraId="774AA24F" w14:textId="77777777" w:rsidR="00F614C8" w:rsidRPr="005552F9" w:rsidRDefault="00F614C8" w:rsidP="00F614C8">
            <w:pPr>
              <w:pStyle w:val="V-tableheader"/>
            </w:pPr>
            <w:r w:rsidRPr="005552F9">
              <w:t>D −28 to −1</w:t>
            </w:r>
          </w:p>
        </w:tc>
        <w:tc>
          <w:tcPr>
            <w:tcW w:w="353" w:type="pct"/>
            <w:vAlign w:val="bottom"/>
          </w:tcPr>
          <w:p w14:paraId="0541A8D0" w14:textId="77777777" w:rsidR="00F614C8" w:rsidRPr="005552F9" w:rsidRDefault="00F614C8" w:rsidP="00F614C8">
            <w:pPr>
              <w:pStyle w:val="V-tableheader"/>
            </w:pPr>
            <w:r w:rsidRPr="005552F9">
              <w:t>±0</w:t>
            </w:r>
          </w:p>
        </w:tc>
        <w:tc>
          <w:tcPr>
            <w:tcW w:w="353" w:type="pct"/>
            <w:vAlign w:val="bottom"/>
          </w:tcPr>
          <w:p w14:paraId="42F5EDA2" w14:textId="77777777" w:rsidR="00F614C8" w:rsidRPr="005552F9" w:rsidRDefault="00F614C8" w:rsidP="00F614C8">
            <w:pPr>
              <w:pStyle w:val="V-tableheader"/>
            </w:pPr>
            <w:r w:rsidRPr="005552F9">
              <w:t>±2 d</w:t>
            </w:r>
          </w:p>
        </w:tc>
        <w:tc>
          <w:tcPr>
            <w:tcW w:w="353" w:type="pct"/>
            <w:vAlign w:val="bottom"/>
          </w:tcPr>
          <w:p w14:paraId="6FAA30EC" w14:textId="77777777" w:rsidR="00F614C8" w:rsidRPr="005552F9" w:rsidRDefault="00F614C8" w:rsidP="00F614C8">
            <w:pPr>
              <w:pStyle w:val="V-tableheader"/>
            </w:pPr>
            <w:r w:rsidRPr="005552F9">
              <w:t>±2 d</w:t>
            </w:r>
          </w:p>
        </w:tc>
        <w:tc>
          <w:tcPr>
            <w:tcW w:w="413" w:type="pct"/>
            <w:vAlign w:val="bottom"/>
          </w:tcPr>
          <w:p w14:paraId="6F23BC1A" w14:textId="3385AC29" w:rsidR="00F614C8" w:rsidRPr="005552F9" w:rsidRDefault="00F614C8" w:rsidP="00F614C8">
            <w:pPr>
              <w:pStyle w:val="V-tableheader"/>
            </w:pPr>
            <w:r w:rsidRPr="005552F9">
              <w:t>± 14d</w:t>
            </w:r>
          </w:p>
        </w:tc>
        <w:tc>
          <w:tcPr>
            <w:tcW w:w="537" w:type="pct"/>
            <w:vAlign w:val="bottom"/>
          </w:tcPr>
          <w:p w14:paraId="48F420B7" w14:textId="77777777" w:rsidR="00F614C8" w:rsidRPr="005552F9" w:rsidRDefault="00F614C8" w:rsidP="00F614C8">
            <w:pPr>
              <w:pStyle w:val="V-tableheader"/>
            </w:pPr>
            <w:r w:rsidRPr="005552F9">
              <w:t>±3 d</w:t>
            </w:r>
          </w:p>
        </w:tc>
        <w:tc>
          <w:tcPr>
            <w:tcW w:w="585" w:type="pct"/>
            <w:vMerge/>
            <w:vAlign w:val="bottom"/>
          </w:tcPr>
          <w:p w14:paraId="54EA7ACA" w14:textId="2C6FCD5C" w:rsidR="00F614C8" w:rsidRPr="005552F9" w:rsidRDefault="00F614C8" w:rsidP="00F614C8">
            <w:pPr>
              <w:pStyle w:val="V-tableheader"/>
            </w:pPr>
          </w:p>
        </w:tc>
        <w:tc>
          <w:tcPr>
            <w:tcW w:w="688" w:type="pct"/>
            <w:vAlign w:val="bottom"/>
          </w:tcPr>
          <w:p w14:paraId="7648DDCA" w14:textId="5C33A631" w:rsidR="00F614C8" w:rsidRPr="005552F9" w:rsidDel="00F614C8" w:rsidRDefault="00F614C8" w:rsidP="00F614C8">
            <w:pPr>
              <w:pStyle w:val="V-tableheader"/>
            </w:pPr>
            <w:r w:rsidRPr="005552F9">
              <w:t>± 14d</w:t>
            </w:r>
          </w:p>
        </w:tc>
      </w:tr>
      <w:tr w:rsidR="00F614C8" w:rsidRPr="005552F9" w14:paraId="1F54E1BA" w14:textId="77777777" w:rsidTr="00B57F24">
        <w:tc>
          <w:tcPr>
            <w:tcW w:w="1197" w:type="pct"/>
            <w:vAlign w:val="center"/>
          </w:tcPr>
          <w:p w14:paraId="67556174" w14:textId="77777777" w:rsidR="00F614C8" w:rsidRPr="005552F9" w:rsidRDefault="00F614C8" w:rsidP="00F614C8">
            <w:pPr>
              <w:pStyle w:val="V-tablebody"/>
              <w:jc w:val="left"/>
            </w:pPr>
            <w:r w:rsidRPr="005552F9">
              <w:t>Informed consent</w:t>
            </w:r>
          </w:p>
        </w:tc>
        <w:tc>
          <w:tcPr>
            <w:tcW w:w="521" w:type="pct"/>
          </w:tcPr>
          <w:p w14:paraId="5188918E" w14:textId="10B88AF1" w:rsidR="00F614C8" w:rsidRPr="005552F9" w:rsidRDefault="00F614C8" w:rsidP="00F614C8">
            <w:pPr>
              <w:pStyle w:val="V-tablebody"/>
            </w:pPr>
            <w:r w:rsidRPr="005552F9">
              <w:t>X</w:t>
            </w:r>
          </w:p>
        </w:tc>
        <w:tc>
          <w:tcPr>
            <w:tcW w:w="353" w:type="pct"/>
          </w:tcPr>
          <w:p w14:paraId="7F44DC6F" w14:textId="77777777" w:rsidR="00F614C8" w:rsidRPr="005552F9" w:rsidRDefault="00F614C8" w:rsidP="00F614C8">
            <w:pPr>
              <w:pStyle w:val="V-tablebody"/>
            </w:pPr>
          </w:p>
        </w:tc>
        <w:tc>
          <w:tcPr>
            <w:tcW w:w="353" w:type="pct"/>
          </w:tcPr>
          <w:p w14:paraId="0FC98517" w14:textId="77777777" w:rsidR="00F614C8" w:rsidRPr="005552F9" w:rsidRDefault="00F614C8" w:rsidP="00F614C8">
            <w:pPr>
              <w:pStyle w:val="V-tablebody"/>
            </w:pPr>
          </w:p>
        </w:tc>
        <w:tc>
          <w:tcPr>
            <w:tcW w:w="353" w:type="pct"/>
          </w:tcPr>
          <w:p w14:paraId="41037316" w14:textId="77777777" w:rsidR="00F614C8" w:rsidRPr="005552F9" w:rsidRDefault="00F614C8" w:rsidP="00F614C8">
            <w:pPr>
              <w:pStyle w:val="V-tablebody"/>
            </w:pPr>
          </w:p>
        </w:tc>
        <w:tc>
          <w:tcPr>
            <w:tcW w:w="413" w:type="pct"/>
          </w:tcPr>
          <w:p w14:paraId="3C62E185" w14:textId="77777777" w:rsidR="00F614C8" w:rsidRPr="005552F9" w:rsidRDefault="00F614C8" w:rsidP="00F614C8">
            <w:pPr>
              <w:pStyle w:val="V-tablebody"/>
            </w:pPr>
          </w:p>
        </w:tc>
        <w:tc>
          <w:tcPr>
            <w:tcW w:w="537" w:type="pct"/>
          </w:tcPr>
          <w:p w14:paraId="38726C94" w14:textId="77777777" w:rsidR="00F614C8" w:rsidRPr="005552F9" w:rsidRDefault="00F614C8" w:rsidP="00F614C8">
            <w:pPr>
              <w:pStyle w:val="V-tablebody"/>
            </w:pPr>
          </w:p>
        </w:tc>
        <w:tc>
          <w:tcPr>
            <w:tcW w:w="585" w:type="pct"/>
          </w:tcPr>
          <w:p w14:paraId="0AADF525" w14:textId="77777777" w:rsidR="00F614C8" w:rsidRPr="005552F9" w:rsidRDefault="00F614C8" w:rsidP="00F614C8">
            <w:pPr>
              <w:pStyle w:val="V-tablebody"/>
            </w:pPr>
          </w:p>
        </w:tc>
        <w:tc>
          <w:tcPr>
            <w:tcW w:w="688" w:type="pct"/>
          </w:tcPr>
          <w:p w14:paraId="6FA0CE77" w14:textId="77777777" w:rsidR="00F614C8" w:rsidRPr="005552F9" w:rsidRDefault="00F614C8" w:rsidP="00F614C8">
            <w:pPr>
              <w:pStyle w:val="V-tablebody"/>
            </w:pPr>
          </w:p>
        </w:tc>
      </w:tr>
      <w:tr w:rsidR="00F614C8" w:rsidRPr="005552F9" w14:paraId="0BB15A60" w14:textId="77777777" w:rsidTr="00B57F24">
        <w:tc>
          <w:tcPr>
            <w:tcW w:w="1197" w:type="pct"/>
            <w:vAlign w:val="center"/>
          </w:tcPr>
          <w:p w14:paraId="1664567E" w14:textId="77777777" w:rsidR="00F614C8" w:rsidRPr="005552F9" w:rsidRDefault="00F614C8" w:rsidP="00F614C8">
            <w:pPr>
              <w:pStyle w:val="V-tablebody"/>
              <w:jc w:val="left"/>
            </w:pPr>
            <w:r w:rsidRPr="005552F9">
              <w:t>Eligibility / staging</w:t>
            </w:r>
          </w:p>
        </w:tc>
        <w:tc>
          <w:tcPr>
            <w:tcW w:w="521" w:type="pct"/>
          </w:tcPr>
          <w:p w14:paraId="2256E2E9" w14:textId="12B6FE1E" w:rsidR="00F614C8" w:rsidRPr="005552F9" w:rsidRDefault="00F614C8" w:rsidP="00F614C8">
            <w:pPr>
              <w:pStyle w:val="V-tablebody"/>
            </w:pPr>
            <w:r w:rsidRPr="005552F9">
              <w:t>X</w:t>
            </w:r>
          </w:p>
        </w:tc>
        <w:tc>
          <w:tcPr>
            <w:tcW w:w="353" w:type="pct"/>
          </w:tcPr>
          <w:p w14:paraId="7A4BD4E4" w14:textId="744B27DF" w:rsidR="00F614C8" w:rsidRPr="005552F9" w:rsidRDefault="00F614C8" w:rsidP="00F614C8">
            <w:pPr>
              <w:pStyle w:val="V-tablebody"/>
            </w:pPr>
            <w:r w:rsidRPr="005552F9">
              <w:t>X</w:t>
            </w:r>
          </w:p>
        </w:tc>
        <w:tc>
          <w:tcPr>
            <w:tcW w:w="353" w:type="pct"/>
          </w:tcPr>
          <w:p w14:paraId="4A331D46" w14:textId="77777777" w:rsidR="00F614C8" w:rsidRPr="005552F9" w:rsidRDefault="00F614C8" w:rsidP="00F614C8">
            <w:pPr>
              <w:pStyle w:val="V-tablebody"/>
            </w:pPr>
          </w:p>
        </w:tc>
        <w:tc>
          <w:tcPr>
            <w:tcW w:w="353" w:type="pct"/>
          </w:tcPr>
          <w:p w14:paraId="25F6D63B" w14:textId="77777777" w:rsidR="00F614C8" w:rsidRPr="005552F9" w:rsidRDefault="00F614C8" w:rsidP="00F614C8">
            <w:pPr>
              <w:pStyle w:val="V-tablebody"/>
            </w:pPr>
          </w:p>
        </w:tc>
        <w:tc>
          <w:tcPr>
            <w:tcW w:w="413" w:type="pct"/>
          </w:tcPr>
          <w:p w14:paraId="09855A12" w14:textId="77777777" w:rsidR="00F614C8" w:rsidRPr="005552F9" w:rsidRDefault="00F614C8" w:rsidP="00F614C8">
            <w:pPr>
              <w:pStyle w:val="V-tablebody"/>
            </w:pPr>
          </w:p>
        </w:tc>
        <w:tc>
          <w:tcPr>
            <w:tcW w:w="537" w:type="pct"/>
          </w:tcPr>
          <w:p w14:paraId="5BDD26B3" w14:textId="77777777" w:rsidR="00F614C8" w:rsidRPr="005552F9" w:rsidRDefault="00F614C8" w:rsidP="00F614C8">
            <w:pPr>
              <w:pStyle w:val="V-tablebody"/>
            </w:pPr>
          </w:p>
        </w:tc>
        <w:tc>
          <w:tcPr>
            <w:tcW w:w="585" w:type="pct"/>
          </w:tcPr>
          <w:p w14:paraId="1E0C6E96" w14:textId="77777777" w:rsidR="00F614C8" w:rsidRPr="005552F9" w:rsidRDefault="00F614C8" w:rsidP="00F614C8">
            <w:pPr>
              <w:pStyle w:val="V-tablebody"/>
            </w:pPr>
          </w:p>
        </w:tc>
        <w:tc>
          <w:tcPr>
            <w:tcW w:w="688" w:type="pct"/>
          </w:tcPr>
          <w:p w14:paraId="17BF7914" w14:textId="77777777" w:rsidR="00F614C8" w:rsidRPr="005552F9" w:rsidRDefault="00F614C8" w:rsidP="00F614C8">
            <w:pPr>
              <w:pStyle w:val="V-tablebody"/>
            </w:pPr>
          </w:p>
        </w:tc>
      </w:tr>
      <w:tr w:rsidR="00F614C8" w:rsidRPr="005552F9" w14:paraId="456B5062" w14:textId="77777777" w:rsidTr="00B57F24">
        <w:tc>
          <w:tcPr>
            <w:tcW w:w="1197" w:type="pct"/>
            <w:vAlign w:val="center"/>
          </w:tcPr>
          <w:p w14:paraId="2DE4BEE9" w14:textId="77777777" w:rsidR="00F614C8" w:rsidRPr="005552F9" w:rsidRDefault="00F614C8" w:rsidP="00F614C8">
            <w:pPr>
              <w:pStyle w:val="V-tablebody"/>
              <w:jc w:val="left"/>
            </w:pPr>
            <w:r w:rsidRPr="005552F9">
              <w:t>Demographics, medical and cancer history</w:t>
            </w:r>
          </w:p>
        </w:tc>
        <w:tc>
          <w:tcPr>
            <w:tcW w:w="521" w:type="pct"/>
          </w:tcPr>
          <w:p w14:paraId="3B7CC6AA" w14:textId="41F9D53A" w:rsidR="00F614C8" w:rsidRPr="005552F9" w:rsidRDefault="00F614C8" w:rsidP="00F614C8">
            <w:pPr>
              <w:pStyle w:val="V-tablebody"/>
            </w:pPr>
            <w:r w:rsidRPr="005552F9">
              <w:t>X</w:t>
            </w:r>
          </w:p>
        </w:tc>
        <w:tc>
          <w:tcPr>
            <w:tcW w:w="353" w:type="pct"/>
          </w:tcPr>
          <w:p w14:paraId="3CDE2F51" w14:textId="77777777" w:rsidR="00F614C8" w:rsidRPr="005552F9" w:rsidRDefault="00F614C8" w:rsidP="00F614C8">
            <w:pPr>
              <w:pStyle w:val="V-tablebody"/>
            </w:pPr>
          </w:p>
        </w:tc>
        <w:tc>
          <w:tcPr>
            <w:tcW w:w="353" w:type="pct"/>
          </w:tcPr>
          <w:p w14:paraId="32C9FBCF" w14:textId="77777777" w:rsidR="00F614C8" w:rsidRPr="005552F9" w:rsidRDefault="00F614C8" w:rsidP="00F614C8">
            <w:pPr>
              <w:pStyle w:val="V-tablebody"/>
            </w:pPr>
          </w:p>
        </w:tc>
        <w:tc>
          <w:tcPr>
            <w:tcW w:w="353" w:type="pct"/>
          </w:tcPr>
          <w:p w14:paraId="09CE15AF" w14:textId="77777777" w:rsidR="00F614C8" w:rsidRPr="005552F9" w:rsidRDefault="00F614C8" w:rsidP="00F614C8">
            <w:pPr>
              <w:pStyle w:val="V-tablebody"/>
            </w:pPr>
          </w:p>
        </w:tc>
        <w:tc>
          <w:tcPr>
            <w:tcW w:w="413" w:type="pct"/>
          </w:tcPr>
          <w:p w14:paraId="42229A1D" w14:textId="77777777" w:rsidR="00F614C8" w:rsidRPr="005552F9" w:rsidRDefault="00F614C8" w:rsidP="00F614C8">
            <w:pPr>
              <w:pStyle w:val="V-tablebody"/>
            </w:pPr>
          </w:p>
        </w:tc>
        <w:tc>
          <w:tcPr>
            <w:tcW w:w="537" w:type="pct"/>
          </w:tcPr>
          <w:p w14:paraId="447F2593" w14:textId="77777777" w:rsidR="00F614C8" w:rsidRPr="005552F9" w:rsidRDefault="00F614C8" w:rsidP="00F614C8">
            <w:pPr>
              <w:pStyle w:val="V-tablebody"/>
            </w:pPr>
          </w:p>
        </w:tc>
        <w:tc>
          <w:tcPr>
            <w:tcW w:w="585" w:type="pct"/>
          </w:tcPr>
          <w:p w14:paraId="63899A7F" w14:textId="77777777" w:rsidR="00F614C8" w:rsidRPr="005552F9" w:rsidRDefault="00F614C8" w:rsidP="00F614C8">
            <w:pPr>
              <w:pStyle w:val="V-tablebody"/>
            </w:pPr>
          </w:p>
        </w:tc>
        <w:tc>
          <w:tcPr>
            <w:tcW w:w="688" w:type="pct"/>
          </w:tcPr>
          <w:p w14:paraId="0D2A933E" w14:textId="77777777" w:rsidR="00F614C8" w:rsidRPr="005552F9" w:rsidRDefault="00F614C8" w:rsidP="00F614C8">
            <w:pPr>
              <w:pStyle w:val="V-tablebody"/>
            </w:pPr>
          </w:p>
        </w:tc>
      </w:tr>
      <w:tr w:rsidR="00F614C8" w:rsidRPr="005552F9" w14:paraId="116B01C6" w14:textId="77777777" w:rsidTr="00B57F24">
        <w:tc>
          <w:tcPr>
            <w:tcW w:w="1197" w:type="pct"/>
            <w:vAlign w:val="center"/>
          </w:tcPr>
          <w:p w14:paraId="40F79818" w14:textId="569F9D1D" w:rsidR="00F614C8" w:rsidRPr="005552F9" w:rsidRDefault="00F614C8" w:rsidP="00F614C8">
            <w:pPr>
              <w:pStyle w:val="V-tablebody"/>
              <w:jc w:val="left"/>
            </w:pPr>
            <w:r w:rsidRPr="005552F9">
              <w:t xml:space="preserve">Physical examination </w:t>
            </w:r>
            <w:r w:rsidR="000D633D" w:rsidRPr="000D633D">
              <w:rPr>
                <w:vertAlign w:val="superscript"/>
              </w:rPr>
              <w:fldChar w:fldCharType="begin"/>
            </w:r>
            <w:r w:rsidR="000D633D" w:rsidRPr="000D633D">
              <w:rPr>
                <w:vertAlign w:val="superscript"/>
              </w:rPr>
              <w:instrText xml:space="preserve"> REF _Ref233800744 \n \h </w:instrText>
            </w:r>
            <w:r w:rsidR="000D633D">
              <w:rPr>
                <w:vertAlign w:val="superscript"/>
              </w:rPr>
              <w:instrText xml:space="preserve"> \* MERGEFORMAT </w:instrText>
            </w:r>
            <w:r w:rsidR="000D633D" w:rsidRPr="000D633D">
              <w:rPr>
                <w:vertAlign w:val="superscript"/>
              </w:rPr>
            </w:r>
            <w:r w:rsidR="000D633D" w:rsidRPr="000D633D">
              <w:rPr>
                <w:vertAlign w:val="superscript"/>
              </w:rPr>
              <w:fldChar w:fldCharType="separate"/>
            </w:r>
            <w:r w:rsidR="00272496" w:rsidRPr="00272496">
              <w:rPr>
                <w:color w:val="0000FF"/>
                <w:vertAlign w:val="superscript"/>
              </w:rPr>
              <w:t>d</w:t>
            </w:r>
            <w:r w:rsidR="000D633D" w:rsidRPr="000D633D">
              <w:rPr>
                <w:vertAlign w:val="superscript"/>
              </w:rPr>
              <w:fldChar w:fldCharType="end"/>
            </w:r>
          </w:p>
        </w:tc>
        <w:tc>
          <w:tcPr>
            <w:tcW w:w="521" w:type="pct"/>
          </w:tcPr>
          <w:p w14:paraId="7592980C" w14:textId="513577CF" w:rsidR="00F614C8" w:rsidRPr="005552F9" w:rsidRDefault="00F614C8" w:rsidP="00F614C8">
            <w:pPr>
              <w:pStyle w:val="V-tablebody"/>
            </w:pPr>
            <w:r w:rsidRPr="005552F9">
              <w:t>X</w:t>
            </w:r>
          </w:p>
        </w:tc>
        <w:tc>
          <w:tcPr>
            <w:tcW w:w="353" w:type="pct"/>
          </w:tcPr>
          <w:p w14:paraId="13E00191" w14:textId="00611528" w:rsidR="00F614C8" w:rsidRPr="005552F9" w:rsidRDefault="00F614C8" w:rsidP="00F614C8">
            <w:pPr>
              <w:pStyle w:val="V-tablebody"/>
            </w:pPr>
            <w:r w:rsidRPr="005552F9">
              <w:t>X</w:t>
            </w:r>
          </w:p>
        </w:tc>
        <w:tc>
          <w:tcPr>
            <w:tcW w:w="353" w:type="pct"/>
          </w:tcPr>
          <w:p w14:paraId="13A8DF3C" w14:textId="77777777" w:rsidR="00F614C8" w:rsidRPr="005552F9" w:rsidRDefault="00F614C8" w:rsidP="00F614C8">
            <w:pPr>
              <w:pStyle w:val="V-tablebody"/>
            </w:pPr>
          </w:p>
        </w:tc>
        <w:tc>
          <w:tcPr>
            <w:tcW w:w="353" w:type="pct"/>
          </w:tcPr>
          <w:p w14:paraId="5088C62E" w14:textId="77777777" w:rsidR="00F614C8" w:rsidRPr="005552F9" w:rsidRDefault="00F614C8" w:rsidP="00F614C8">
            <w:pPr>
              <w:pStyle w:val="V-tablebody"/>
            </w:pPr>
          </w:p>
        </w:tc>
        <w:tc>
          <w:tcPr>
            <w:tcW w:w="413" w:type="pct"/>
          </w:tcPr>
          <w:p w14:paraId="2A27B432" w14:textId="77777777" w:rsidR="00F614C8" w:rsidRPr="005552F9" w:rsidRDefault="00F614C8" w:rsidP="00F614C8">
            <w:pPr>
              <w:pStyle w:val="V-tablebody"/>
            </w:pPr>
          </w:p>
        </w:tc>
        <w:tc>
          <w:tcPr>
            <w:tcW w:w="537" w:type="pct"/>
          </w:tcPr>
          <w:p w14:paraId="5038A1B4" w14:textId="77777777" w:rsidR="00F614C8" w:rsidRPr="005552F9" w:rsidRDefault="00F614C8" w:rsidP="00F614C8">
            <w:pPr>
              <w:pStyle w:val="V-tablebody"/>
            </w:pPr>
            <w:r w:rsidRPr="005552F9">
              <w:t>X</w:t>
            </w:r>
          </w:p>
        </w:tc>
        <w:tc>
          <w:tcPr>
            <w:tcW w:w="585" w:type="pct"/>
          </w:tcPr>
          <w:p w14:paraId="4C60B709" w14:textId="59EA51D0" w:rsidR="00F614C8" w:rsidRPr="005552F9" w:rsidRDefault="00F614C8" w:rsidP="00F614C8">
            <w:pPr>
              <w:pStyle w:val="V-tablebody"/>
            </w:pPr>
            <w:r w:rsidRPr="005552F9">
              <w:t>X</w:t>
            </w:r>
          </w:p>
        </w:tc>
        <w:tc>
          <w:tcPr>
            <w:tcW w:w="688" w:type="pct"/>
          </w:tcPr>
          <w:p w14:paraId="2764E62A" w14:textId="77777777" w:rsidR="00F614C8" w:rsidRPr="005552F9" w:rsidRDefault="00F614C8" w:rsidP="00F614C8">
            <w:pPr>
              <w:pStyle w:val="V-tablebody"/>
            </w:pPr>
          </w:p>
        </w:tc>
      </w:tr>
      <w:tr w:rsidR="00F614C8" w:rsidRPr="005552F9" w14:paraId="6FABE5FE" w14:textId="77777777" w:rsidTr="00B57F24">
        <w:tc>
          <w:tcPr>
            <w:tcW w:w="1197" w:type="pct"/>
            <w:vAlign w:val="center"/>
          </w:tcPr>
          <w:p w14:paraId="512FBE34" w14:textId="77777777" w:rsidR="00F614C8" w:rsidRPr="005552F9" w:rsidRDefault="00F614C8" w:rsidP="00F614C8">
            <w:pPr>
              <w:pStyle w:val="V-tablebody"/>
              <w:jc w:val="left"/>
            </w:pPr>
            <w:r w:rsidRPr="005552F9">
              <w:t>ECOG performance status</w:t>
            </w:r>
          </w:p>
        </w:tc>
        <w:tc>
          <w:tcPr>
            <w:tcW w:w="521" w:type="pct"/>
          </w:tcPr>
          <w:p w14:paraId="2FA0B05A" w14:textId="44FEEFFD" w:rsidR="00F614C8" w:rsidRPr="005552F9" w:rsidRDefault="00F614C8" w:rsidP="00F614C8">
            <w:pPr>
              <w:pStyle w:val="V-tablebody"/>
            </w:pPr>
            <w:r w:rsidRPr="005552F9">
              <w:t>X</w:t>
            </w:r>
          </w:p>
        </w:tc>
        <w:tc>
          <w:tcPr>
            <w:tcW w:w="353" w:type="pct"/>
          </w:tcPr>
          <w:p w14:paraId="429A2FE8" w14:textId="399C1040" w:rsidR="00F614C8" w:rsidRPr="005552F9" w:rsidRDefault="00F614C8" w:rsidP="00F614C8">
            <w:pPr>
              <w:pStyle w:val="V-tablebody"/>
            </w:pPr>
            <w:r w:rsidRPr="005552F9">
              <w:t>X</w:t>
            </w:r>
          </w:p>
        </w:tc>
        <w:tc>
          <w:tcPr>
            <w:tcW w:w="353" w:type="pct"/>
          </w:tcPr>
          <w:p w14:paraId="302CAE80" w14:textId="77777777" w:rsidR="00F614C8" w:rsidRPr="005552F9" w:rsidRDefault="00F614C8" w:rsidP="00F614C8">
            <w:pPr>
              <w:pStyle w:val="V-tablebody"/>
            </w:pPr>
          </w:p>
        </w:tc>
        <w:tc>
          <w:tcPr>
            <w:tcW w:w="353" w:type="pct"/>
          </w:tcPr>
          <w:p w14:paraId="3D2F2876" w14:textId="77777777" w:rsidR="00F614C8" w:rsidRPr="005552F9" w:rsidRDefault="00F614C8" w:rsidP="00F614C8">
            <w:pPr>
              <w:pStyle w:val="V-tablebody"/>
            </w:pPr>
          </w:p>
        </w:tc>
        <w:tc>
          <w:tcPr>
            <w:tcW w:w="413" w:type="pct"/>
          </w:tcPr>
          <w:p w14:paraId="5530070A" w14:textId="77777777" w:rsidR="00F614C8" w:rsidRPr="005552F9" w:rsidRDefault="00F614C8" w:rsidP="00F614C8">
            <w:pPr>
              <w:pStyle w:val="V-tablebody"/>
            </w:pPr>
          </w:p>
        </w:tc>
        <w:tc>
          <w:tcPr>
            <w:tcW w:w="537" w:type="pct"/>
          </w:tcPr>
          <w:p w14:paraId="2E8AF21C" w14:textId="77777777" w:rsidR="00F614C8" w:rsidRPr="005552F9" w:rsidRDefault="00F614C8" w:rsidP="00F614C8">
            <w:pPr>
              <w:pStyle w:val="V-tablebody"/>
            </w:pPr>
            <w:r w:rsidRPr="005552F9">
              <w:t>X</w:t>
            </w:r>
          </w:p>
        </w:tc>
        <w:tc>
          <w:tcPr>
            <w:tcW w:w="585" w:type="pct"/>
          </w:tcPr>
          <w:p w14:paraId="24E58CFB" w14:textId="288FCC77" w:rsidR="00F614C8" w:rsidRPr="005552F9" w:rsidRDefault="00F614C8" w:rsidP="00F614C8">
            <w:pPr>
              <w:pStyle w:val="V-tablebody"/>
            </w:pPr>
            <w:r w:rsidRPr="005552F9">
              <w:t>X</w:t>
            </w:r>
          </w:p>
        </w:tc>
        <w:tc>
          <w:tcPr>
            <w:tcW w:w="688" w:type="pct"/>
          </w:tcPr>
          <w:p w14:paraId="4DE5BF20" w14:textId="77777777" w:rsidR="00F614C8" w:rsidRPr="005552F9" w:rsidRDefault="00F614C8" w:rsidP="00F614C8">
            <w:pPr>
              <w:pStyle w:val="V-tablebody"/>
            </w:pPr>
          </w:p>
        </w:tc>
      </w:tr>
      <w:tr w:rsidR="00F614C8" w:rsidRPr="005552F9" w14:paraId="5477970B" w14:textId="77777777" w:rsidTr="00B57F24">
        <w:tc>
          <w:tcPr>
            <w:tcW w:w="1197" w:type="pct"/>
            <w:vAlign w:val="center"/>
          </w:tcPr>
          <w:p w14:paraId="30A3442D" w14:textId="77777777" w:rsidR="00F614C8" w:rsidRPr="005552F9" w:rsidRDefault="00F614C8" w:rsidP="00F614C8">
            <w:pPr>
              <w:pStyle w:val="V-tablebody"/>
              <w:jc w:val="left"/>
            </w:pPr>
            <w:r w:rsidRPr="005552F9">
              <w:t>Vital signs</w:t>
            </w:r>
          </w:p>
        </w:tc>
        <w:tc>
          <w:tcPr>
            <w:tcW w:w="521" w:type="pct"/>
          </w:tcPr>
          <w:p w14:paraId="027B326A" w14:textId="790952DB" w:rsidR="00F614C8" w:rsidRPr="005552F9" w:rsidRDefault="00F614C8" w:rsidP="00F614C8">
            <w:pPr>
              <w:pStyle w:val="V-tablebody"/>
            </w:pPr>
            <w:r w:rsidRPr="005552F9">
              <w:t>X</w:t>
            </w:r>
          </w:p>
        </w:tc>
        <w:tc>
          <w:tcPr>
            <w:tcW w:w="353" w:type="pct"/>
          </w:tcPr>
          <w:p w14:paraId="4B49CB99" w14:textId="616825B9" w:rsidR="00F614C8" w:rsidRPr="005552F9" w:rsidRDefault="00F614C8" w:rsidP="00F614C8">
            <w:pPr>
              <w:pStyle w:val="V-tablebody"/>
            </w:pPr>
            <w:r w:rsidRPr="005552F9">
              <w:t>X</w:t>
            </w:r>
          </w:p>
        </w:tc>
        <w:tc>
          <w:tcPr>
            <w:tcW w:w="353" w:type="pct"/>
          </w:tcPr>
          <w:p w14:paraId="6914842C" w14:textId="7AE46D4D" w:rsidR="00F614C8" w:rsidRPr="005552F9" w:rsidRDefault="00F614C8" w:rsidP="00F614C8">
            <w:pPr>
              <w:pStyle w:val="V-tablebody"/>
            </w:pPr>
            <w:r w:rsidRPr="005552F9">
              <w:t>X</w:t>
            </w:r>
          </w:p>
        </w:tc>
        <w:tc>
          <w:tcPr>
            <w:tcW w:w="353" w:type="pct"/>
          </w:tcPr>
          <w:p w14:paraId="531F89CA" w14:textId="094FA980" w:rsidR="00F614C8" w:rsidRPr="005552F9" w:rsidRDefault="00F614C8" w:rsidP="00F614C8">
            <w:pPr>
              <w:pStyle w:val="V-tablebody"/>
            </w:pPr>
            <w:r w:rsidRPr="005552F9">
              <w:t>X</w:t>
            </w:r>
          </w:p>
        </w:tc>
        <w:tc>
          <w:tcPr>
            <w:tcW w:w="413" w:type="pct"/>
          </w:tcPr>
          <w:p w14:paraId="7BF5E33F" w14:textId="6605276F" w:rsidR="00F614C8" w:rsidRPr="005552F9" w:rsidRDefault="00F614C8" w:rsidP="00F614C8">
            <w:pPr>
              <w:pStyle w:val="V-tablebody"/>
            </w:pPr>
            <w:r w:rsidRPr="005552F9">
              <w:t>X</w:t>
            </w:r>
          </w:p>
        </w:tc>
        <w:tc>
          <w:tcPr>
            <w:tcW w:w="537" w:type="pct"/>
          </w:tcPr>
          <w:p w14:paraId="231BD210" w14:textId="77777777" w:rsidR="00F614C8" w:rsidRPr="005552F9" w:rsidRDefault="00F614C8" w:rsidP="00F614C8">
            <w:pPr>
              <w:pStyle w:val="V-tablebody"/>
            </w:pPr>
            <w:r w:rsidRPr="005552F9">
              <w:t>X</w:t>
            </w:r>
          </w:p>
        </w:tc>
        <w:tc>
          <w:tcPr>
            <w:tcW w:w="585" w:type="pct"/>
          </w:tcPr>
          <w:p w14:paraId="786505F2" w14:textId="5660E3EB" w:rsidR="00F614C8" w:rsidRPr="005552F9" w:rsidRDefault="00F614C8" w:rsidP="00F614C8">
            <w:pPr>
              <w:pStyle w:val="V-tablebody"/>
            </w:pPr>
            <w:r w:rsidRPr="005552F9">
              <w:t>X</w:t>
            </w:r>
          </w:p>
        </w:tc>
        <w:tc>
          <w:tcPr>
            <w:tcW w:w="688" w:type="pct"/>
          </w:tcPr>
          <w:p w14:paraId="580F6788" w14:textId="77777777" w:rsidR="00F614C8" w:rsidRPr="005552F9" w:rsidRDefault="00F614C8" w:rsidP="00F614C8">
            <w:pPr>
              <w:pStyle w:val="V-tablebody"/>
            </w:pPr>
          </w:p>
        </w:tc>
      </w:tr>
      <w:tr w:rsidR="00F614C8" w:rsidRPr="005552F9" w14:paraId="5891D21B" w14:textId="77777777" w:rsidTr="00B57F24">
        <w:tc>
          <w:tcPr>
            <w:tcW w:w="1197" w:type="pct"/>
            <w:vAlign w:val="center"/>
          </w:tcPr>
          <w:p w14:paraId="0AEA61E2" w14:textId="445B4D48" w:rsidR="00F614C8" w:rsidRPr="005552F9" w:rsidRDefault="00F614C8" w:rsidP="00F614C8">
            <w:pPr>
              <w:pStyle w:val="V-tablebody"/>
              <w:jc w:val="left"/>
            </w:pPr>
            <w:r w:rsidRPr="005552F9">
              <w:t xml:space="preserve">12-lead ECG (triplicate) </w:t>
            </w:r>
            <w:r w:rsidR="000D633D">
              <w:rPr>
                <w:vertAlign w:val="superscript"/>
              </w:rPr>
              <w:fldChar w:fldCharType="begin"/>
            </w:r>
            <w:r w:rsidR="000D633D">
              <w:rPr>
                <w:vertAlign w:val="superscript"/>
              </w:rPr>
              <w:instrText xml:space="preserve"> REF _Ref233800748 \n \h </w:instrText>
            </w:r>
            <w:r w:rsidR="000D633D">
              <w:rPr>
                <w:vertAlign w:val="superscript"/>
              </w:rPr>
            </w:r>
            <w:r w:rsidR="000D633D">
              <w:rPr>
                <w:vertAlign w:val="superscript"/>
              </w:rPr>
              <w:fldChar w:fldCharType="separate"/>
            </w:r>
            <w:r w:rsidR="00272496" w:rsidRPr="00272496">
              <w:rPr>
                <w:color w:val="0000FF"/>
                <w:vertAlign w:val="superscript"/>
              </w:rPr>
              <w:t>e</w:t>
            </w:r>
            <w:r w:rsidR="000D633D">
              <w:rPr>
                <w:vertAlign w:val="superscript"/>
              </w:rPr>
              <w:fldChar w:fldCharType="end"/>
            </w:r>
          </w:p>
        </w:tc>
        <w:tc>
          <w:tcPr>
            <w:tcW w:w="521" w:type="pct"/>
          </w:tcPr>
          <w:p w14:paraId="5CB9C942" w14:textId="6C1E0D5F" w:rsidR="00F614C8" w:rsidRPr="005552F9" w:rsidRDefault="00F614C8" w:rsidP="00F614C8">
            <w:pPr>
              <w:pStyle w:val="V-tablebody"/>
            </w:pPr>
            <w:r w:rsidRPr="005552F9">
              <w:t>X</w:t>
            </w:r>
          </w:p>
        </w:tc>
        <w:tc>
          <w:tcPr>
            <w:tcW w:w="353" w:type="pct"/>
          </w:tcPr>
          <w:p w14:paraId="5E6ABE9E" w14:textId="435A53EB" w:rsidR="00F614C8" w:rsidRPr="005552F9" w:rsidRDefault="00F614C8" w:rsidP="00F614C8">
            <w:pPr>
              <w:pStyle w:val="V-tablebody"/>
            </w:pPr>
            <w:r w:rsidRPr="005552F9">
              <w:t>X</w:t>
            </w:r>
          </w:p>
        </w:tc>
        <w:tc>
          <w:tcPr>
            <w:tcW w:w="353" w:type="pct"/>
          </w:tcPr>
          <w:p w14:paraId="401FA4D7" w14:textId="77777777" w:rsidR="00F614C8" w:rsidRPr="005552F9" w:rsidRDefault="00F614C8" w:rsidP="00F614C8">
            <w:pPr>
              <w:pStyle w:val="V-tablebody"/>
            </w:pPr>
          </w:p>
        </w:tc>
        <w:tc>
          <w:tcPr>
            <w:tcW w:w="353" w:type="pct"/>
          </w:tcPr>
          <w:p w14:paraId="1903A619" w14:textId="1E5149A0" w:rsidR="00F614C8" w:rsidRPr="005552F9" w:rsidRDefault="00F614C8" w:rsidP="00F614C8">
            <w:pPr>
              <w:pStyle w:val="V-tablebody"/>
            </w:pPr>
            <w:r w:rsidRPr="005552F9">
              <w:t>X</w:t>
            </w:r>
          </w:p>
        </w:tc>
        <w:tc>
          <w:tcPr>
            <w:tcW w:w="413" w:type="pct"/>
          </w:tcPr>
          <w:p w14:paraId="3C07C654" w14:textId="77777777" w:rsidR="00F614C8" w:rsidRPr="005552F9" w:rsidRDefault="00F614C8" w:rsidP="00F614C8">
            <w:pPr>
              <w:pStyle w:val="V-tablebody"/>
            </w:pPr>
          </w:p>
        </w:tc>
        <w:tc>
          <w:tcPr>
            <w:tcW w:w="537" w:type="pct"/>
          </w:tcPr>
          <w:p w14:paraId="115055AB" w14:textId="77777777" w:rsidR="00F614C8" w:rsidRPr="005552F9" w:rsidRDefault="00F614C8" w:rsidP="00F614C8">
            <w:pPr>
              <w:pStyle w:val="V-tablebody"/>
            </w:pPr>
          </w:p>
        </w:tc>
        <w:tc>
          <w:tcPr>
            <w:tcW w:w="585" w:type="pct"/>
          </w:tcPr>
          <w:p w14:paraId="7894D601" w14:textId="77777777" w:rsidR="00F614C8" w:rsidRPr="005552F9" w:rsidRDefault="00F614C8" w:rsidP="00F614C8">
            <w:pPr>
              <w:pStyle w:val="V-tablebody"/>
            </w:pPr>
          </w:p>
        </w:tc>
        <w:tc>
          <w:tcPr>
            <w:tcW w:w="688" w:type="pct"/>
          </w:tcPr>
          <w:p w14:paraId="4047507C" w14:textId="77777777" w:rsidR="00F614C8" w:rsidRPr="005552F9" w:rsidRDefault="00F614C8" w:rsidP="00F614C8">
            <w:pPr>
              <w:pStyle w:val="V-tablebody"/>
            </w:pPr>
          </w:p>
        </w:tc>
      </w:tr>
      <w:tr w:rsidR="00F614C8" w:rsidRPr="005552F9" w14:paraId="75D552FF" w14:textId="77777777" w:rsidTr="00B57F24">
        <w:tc>
          <w:tcPr>
            <w:tcW w:w="1197" w:type="pct"/>
            <w:vAlign w:val="center"/>
          </w:tcPr>
          <w:p w14:paraId="6D3628B7" w14:textId="77777777" w:rsidR="00F614C8" w:rsidRPr="005552F9" w:rsidRDefault="00F614C8" w:rsidP="00F614C8">
            <w:pPr>
              <w:pStyle w:val="V-tablebody"/>
              <w:jc w:val="left"/>
            </w:pPr>
            <w:r w:rsidRPr="005552F9">
              <w:t>Hematology and serum chemistry</w:t>
            </w:r>
          </w:p>
        </w:tc>
        <w:tc>
          <w:tcPr>
            <w:tcW w:w="521" w:type="pct"/>
          </w:tcPr>
          <w:p w14:paraId="51C4E0FA" w14:textId="08A253AC" w:rsidR="00F614C8" w:rsidRPr="005552F9" w:rsidRDefault="00F614C8" w:rsidP="00F614C8">
            <w:pPr>
              <w:pStyle w:val="V-tablebody"/>
            </w:pPr>
            <w:r w:rsidRPr="005552F9">
              <w:t>X</w:t>
            </w:r>
          </w:p>
        </w:tc>
        <w:tc>
          <w:tcPr>
            <w:tcW w:w="353" w:type="pct"/>
          </w:tcPr>
          <w:p w14:paraId="08F7B143" w14:textId="3CA4AEF7" w:rsidR="00F614C8" w:rsidRPr="005552F9" w:rsidRDefault="00F614C8" w:rsidP="00F614C8">
            <w:pPr>
              <w:pStyle w:val="V-tablebody"/>
            </w:pPr>
            <w:r w:rsidRPr="005552F9">
              <w:t>X</w:t>
            </w:r>
          </w:p>
        </w:tc>
        <w:tc>
          <w:tcPr>
            <w:tcW w:w="353" w:type="pct"/>
          </w:tcPr>
          <w:p w14:paraId="21581409" w14:textId="68D042B0" w:rsidR="00F614C8" w:rsidRPr="005552F9" w:rsidRDefault="00F614C8" w:rsidP="00F614C8">
            <w:pPr>
              <w:pStyle w:val="V-tablebody"/>
            </w:pPr>
            <w:r w:rsidRPr="005552F9">
              <w:t>X</w:t>
            </w:r>
          </w:p>
        </w:tc>
        <w:tc>
          <w:tcPr>
            <w:tcW w:w="353" w:type="pct"/>
          </w:tcPr>
          <w:p w14:paraId="4B0555B1" w14:textId="1A1A718C" w:rsidR="00F614C8" w:rsidRPr="005552F9" w:rsidRDefault="00F614C8" w:rsidP="00F614C8">
            <w:pPr>
              <w:pStyle w:val="V-tablebody"/>
            </w:pPr>
            <w:r w:rsidRPr="005552F9">
              <w:t>X</w:t>
            </w:r>
          </w:p>
        </w:tc>
        <w:tc>
          <w:tcPr>
            <w:tcW w:w="413" w:type="pct"/>
          </w:tcPr>
          <w:p w14:paraId="26B53886" w14:textId="4B08D084" w:rsidR="00F614C8" w:rsidRPr="005552F9" w:rsidRDefault="00F614C8" w:rsidP="00F614C8">
            <w:pPr>
              <w:pStyle w:val="V-tablebody"/>
            </w:pPr>
            <w:r w:rsidRPr="005552F9">
              <w:t>X</w:t>
            </w:r>
          </w:p>
        </w:tc>
        <w:tc>
          <w:tcPr>
            <w:tcW w:w="537" w:type="pct"/>
          </w:tcPr>
          <w:p w14:paraId="114642A0" w14:textId="77777777" w:rsidR="00F614C8" w:rsidRPr="005552F9" w:rsidRDefault="00F614C8" w:rsidP="00F614C8">
            <w:pPr>
              <w:pStyle w:val="V-tablebody"/>
            </w:pPr>
            <w:r w:rsidRPr="005552F9">
              <w:t>X</w:t>
            </w:r>
          </w:p>
        </w:tc>
        <w:tc>
          <w:tcPr>
            <w:tcW w:w="585" w:type="pct"/>
          </w:tcPr>
          <w:p w14:paraId="17FF99FD" w14:textId="68AF12B1" w:rsidR="00F614C8" w:rsidRPr="005552F9" w:rsidRDefault="00F614C8" w:rsidP="00F614C8">
            <w:pPr>
              <w:pStyle w:val="V-tablebody"/>
            </w:pPr>
            <w:r w:rsidRPr="005552F9">
              <w:t>X</w:t>
            </w:r>
          </w:p>
        </w:tc>
        <w:tc>
          <w:tcPr>
            <w:tcW w:w="688" w:type="pct"/>
          </w:tcPr>
          <w:p w14:paraId="6EED1145" w14:textId="77777777" w:rsidR="00F614C8" w:rsidRPr="005552F9" w:rsidRDefault="00F614C8" w:rsidP="00F614C8">
            <w:pPr>
              <w:pStyle w:val="V-tablebody"/>
            </w:pPr>
          </w:p>
        </w:tc>
      </w:tr>
      <w:tr w:rsidR="00F614C8" w:rsidRPr="005552F9" w14:paraId="4B24CCC2" w14:textId="77777777" w:rsidTr="00B57F24">
        <w:tc>
          <w:tcPr>
            <w:tcW w:w="1197" w:type="pct"/>
            <w:vAlign w:val="center"/>
          </w:tcPr>
          <w:p w14:paraId="13DDF335" w14:textId="77777777" w:rsidR="00F614C8" w:rsidRPr="005552F9" w:rsidRDefault="00F614C8" w:rsidP="00F614C8">
            <w:pPr>
              <w:pStyle w:val="V-tablebody"/>
              <w:jc w:val="left"/>
            </w:pPr>
            <w:r w:rsidRPr="005552F9">
              <w:t>Coagulation</w:t>
            </w:r>
          </w:p>
        </w:tc>
        <w:tc>
          <w:tcPr>
            <w:tcW w:w="521" w:type="pct"/>
          </w:tcPr>
          <w:p w14:paraId="44C7E164" w14:textId="3A2AACFB" w:rsidR="00F614C8" w:rsidRPr="005552F9" w:rsidRDefault="00F614C8" w:rsidP="00F614C8">
            <w:pPr>
              <w:pStyle w:val="V-tablebody"/>
            </w:pPr>
            <w:r w:rsidRPr="005552F9">
              <w:t>X</w:t>
            </w:r>
          </w:p>
        </w:tc>
        <w:tc>
          <w:tcPr>
            <w:tcW w:w="353" w:type="pct"/>
          </w:tcPr>
          <w:p w14:paraId="431E8874" w14:textId="79310E5E" w:rsidR="00F614C8" w:rsidRPr="005552F9" w:rsidRDefault="00F614C8" w:rsidP="00F614C8">
            <w:pPr>
              <w:pStyle w:val="V-tablebody"/>
            </w:pPr>
            <w:r w:rsidRPr="005552F9">
              <w:t>X</w:t>
            </w:r>
          </w:p>
        </w:tc>
        <w:tc>
          <w:tcPr>
            <w:tcW w:w="353" w:type="pct"/>
          </w:tcPr>
          <w:p w14:paraId="05659CCA" w14:textId="77777777" w:rsidR="00F614C8" w:rsidRPr="005552F9" w:rsidRDefault="00F614C8" w:rsidP="00F614C8">
            <w:pPr>
              <w:pStyle w:val="V-tablebody"/>
            </w:pPr>
          </w:p>
        </w:tc>
        <w:tc>
          <w:tcPr>
            <w:tcW w:w="353" w:type="pct"/>
          </w:tcPr>
          <w:p w14:paraId="263CB246" w14:textId="77777777" w:rsidR="00F614C8" w:rsidRPr="005552F9" w:rsidRDefault="00F614C8" w:rsidP="00F614C8">
            <w:pPr>
              <w:pStyle w:val="V-tablebody"/>
            </w:pPr>
          </w:p>
        </w:tc>
        <w:tc>
          <w:tcPr>
            <w:tcW w:w="413" w:type="pct"/>
          </w:tcPr>
          <w:p w14:paraId="018FE673" w14:textId="77777777" w:rsidR="00F614C8" w:rsidRPr="005552F9" w:rsidRDefault="00F614C8" w:rsidP="00F614C8">
            <w:pPr>
              <w:pStyle w:val="V-tablebody"/>
            </w:pPr>
          </w:p>
        </w:tc>
        <w:tc>
          <w:tcPr>
            <w:tcW w:w="537" w:type="pct"/>
          </w:tcPr>
          <w:p w14:paraId="0888740A" w14:textId="77777777" w:rsidR="00F614C8" w:rsidRPr="005552F9" w:rsidRDefault="00F614C8" w:rsidP="00F614C8">
            <w:pPr>
              <w:pStyle w:val="V-tablebody"/>
            </w:pPr>
          </w:p>
        </w:tc>
        <w:tc>
          <w:tcPr>
            <w:tcW w:w="585" w:type="pct"/>
          </w:tcPr>
          <w:p w14:paraId="0A220CDD" w14:textId="495D1276" w:rsidR="00F614C8" w:rsidRPr="005552F9" w:rsidRDefault="00F614C8" w:rsidP="00F614C8">
            <w:pPr>
              <w:pStyle w:val="V-tablebody"/>
            </w:pPr>
            <w:r w:rsidRPr="005552F9">
              <w:t>X</w:t>
            </w:r>
          </w:p>
        </w:tc>
        <w:tc>
          <w:tcPr>
            <w:tcW w:w="688" w:type="pct"/>
          </w:tcPr>
          <w:p w14:paraId="35F75F24" w14:textId="77777777" w:rsidR="00F614C8" w:rsidRPr="005552F9" w:rsidRDefault="00F614C8" w:rsidP="00F614C8">
            <w:pPr>
              <w:pStyle w:val="V-tablebody"/>
            </w:pPr>
          </w:p>
        </w:tc>
      </w:tr>
      <w:tr w:rsidR="00F614C8" w:rsidRPr="005552F9" w14:paraId="68ABC23E" w14:textId="77777777" w:rsidTr="00B57F24">
        <w:tc>
          <w:tcPr>
            <w:tcW w:w="1197" w:type="pct"/>
            <w:vAlign w:val="center"/>
          </w:tcPr>
          <w:p w14:paraId="5DD00BD6" w14:textId="7DB0A4A2" w:rsidR="00F614C8" w:rsidRPr="005552F9" w:rsidRDefault="00F614C8" w:rsidP="00F614C8">
            <w:pPr>
              <w:pStyle w:val="V-tablebody"/>
              <w:jc w:val="left"/>
            </w:pPr>
            <w:r w:rsidRPr="005552F9">
              <w:t xml:space="preserve">Pregnancy test (WOCBP) </w:t>
            </w:r>
            <w:r w:rsidR="000D633D">
              <w:rPr>
                <w:vertAlign w:val="superscript"/>
              </w:rPr>
              <w:fldChar w:fldCharType="begin"/>
            </w:r>
            <w:r w:rsidR="000D633D">
              <w:rPr>
                <w:vertAlign w:val="superscript"/>
              </w:rPr>
              <w:instrText xml:space="preserve"> REF _Ref233800750 \n \h </w:instrText>
            </w:r>
            <w:r w:rsidR="000D633D">
              <w:rPr>
                <w:vertAlign w:val="superscript"/>
              </w:rPr>
            </w:r>
            <w:r w:rsidR="000D633D">
              <w:rPr>
                <w:vertAlign w:val="superscript"/>
              </w:rPr>
              <w:fldChar w:fldCharType="separate"/>
            </w:r>
            <w:r w:rsidR="00272496" w:rsidRPr="00272496">
              <w:rPr>
                <w:color w:val="0000FF"/>
                <w:vertAlign w:val="superscript"/>
              </w:rPr>
              <w:t>f</w:t>
            </w:r>
            <w:r w:rsidR="000D633D">
              <w:rPr>
                <w:vertAlign w:val="superscript"/>
              </w:rPr>
              <w:fldChar w:fldCharType="end"/>
            </w:r>
          </w:p>
        </w:tc>
        <w:tc>
          <w:tcPr>
            <w:tcW w:w="521" w:type="pct"/>
          </w:tcPr>
          <w:p w14:paraId="1162F706" w14:textId="5A0CBF7E" w:rsidR="00F614C8" w:rsidRPr="005552F9" w:rsidRDefault="00F614C8" w:rsidP="00F614C8">
            <w:pPr>
              <w:pStyle w:val="V-tablebody"/>
            </w:pPr>
            <w:r w:rsidRPr="005552F9">
              <w:t>X</w:t>
            </w:r>
          </w:p>
        </w:tc>
        <w:tc>
          <w:tcPr>
            <w:tcW w:w="353" w:type="pct"/>
          </w:tcPr>
          <w:p w14:paraId="1CAB5256" w14:textId="4D0175B6" w:rsidR="00F614C8" w:rsidRPr="005552F9" w:rsidRDefault="00F614C8" w:rsidP="00F614C8">
            <w:pPr>
              <w:pStyle w:val="V-tablebody"/>
            </w:pPr>
            <w:r w:rsidRPr="005552F9">
              <w:t>X</w:t>
            </w:r>
          </w:p>
        </w:tc>
        <w:tc>
          <w:tcPr>
            <w:tcW w:w="353" w:type="pct"/>
          </w:tcPr>
          <w:p w14:paraId="738266B6" w14:textId="77777777" w:rsidR="00F614C8" w:rsidRPr="005552F9" w:rsidRDefault="00F614C8" w:rsidP="00F614C8">
            <w:pPr>
              <w:pStyle w:val="V-tablebody"/>
            </w:pPr>
          </w:p>
        </w:tc>
        <w:tc>
          <w:tcPr>
            <w:tcW w:w="353" w:type="pct"/>
          </w:tcPr>
          <w:p w14:paraId="6CAB3A2B" w14:textId="77777777" w:rsidR="00F614C8" w:rsidRPr="005552F9" w:rsidRDefault="00F614C8" w:rsidP="00F614C8">
            <w:pPr>
              <w:pStyle w:val="V-tablebody"/>
            </w:pPr>
          </w:p>
        </w:tc>
        <w:tc>
          <w:tcPr>
            <w:tcW w:w="413" w:type="pct"/>
          </w:tcPr>
          <w:p w14:paraId="7FE36C98" w14:textId="77777777" w:rsidR="00F614C8" w:rsidRPr="005552F9" w:rsidRDefault="00F614C8" w:rsidP="00F614C8">
            <w:pPr>
              <w:pStyle w:val="V-tablebody"/>
            </w:pPr>
          </w:p>
        </w:tc>
        <w:tc>
          <w:tcPr>
            <w:tcW w:w="537" w:type="pct"/>
          </w:tcPr>
          <w:p w14:paraId="52C9EF7D" w14:textId="77777777" w:rsidR="00F614C8" w:rsidRPr="005552F9" w:rsidRDefault="00F614C8" w:rsidP="00F614C8">
            <w:pPr>
              <w:pStyle w:val="V-tablebody"/>
            </w:pPr>
            <w:r w:rsidRPr="005552F9">
              <w:t>X</w:t>
            </w:r>
          </w:p>
        </w:tc>
        <w:tc>
          <w:tcPr>
            <w:tcW w:w="585" w:type="pct"/>
          </w:tcPr>
          <w:p w14:paraId="0F64D1A1" w14:textId="4185CCF2" w:rsidR="00F614C8" w:rsidRPr="005552F9" w:rsidRDefault="00F614C8" w:rsidP="00F614C8">
            <w:pPr>
              <w:pStyle w:val="V-tablebody"/>
            </w:pPr>
            <w:r w:rsidRPr="005552F9">
              <w:t>X</w:t>
            </w:r>
          </w:p>
        </w:tc>
        <w:tc>
          <w:tcPr>
            <w:tcW w:w="688" w:type="pct"/>
          </w:tcPr>
          <w:p w14:paraId="07F97F31" w14:textId="77777777" w:rsidR="00F614C8" w:rsidRPr="005552F9" w:rsidRDefault="00F614C8" w:rsidP="00F614C8">
            <w:pPr>
              <w:pStyle w:val="V-tablebody"/>
            </w:pPr>
          </w:p>
        </w:tc>
      </w:tr>
      <w:tr w:rsidR="00F614C8" w:rsidRPr="005552F9" w14:paraId="5C98D3CE" w14:textId="77777777" w:rsidTr="00B57F24">
        <w:tc>
          <w:tcPr>
            <w:tcW w:w="1197" w:type="pct"/>
            <w:vAlign w:val="center"/>
          </w:tcPr>
          <w:p w14:paraId="2047B79E" w14:textId="7CA8E71D" w:rsidR="00F614C8" w:rsidRPr="005552F9" w:rsidRDefault="00F614C8" w:rsidP="00F614C8">
            <w:pPr>
              <w:pStyle w:val="V-tablebody"/>
              <w:jc w:val="left"/>
            </w:pPr>
            <w:r w:rsidRPr="005552F9">
              <w:t xml:space="preserve">Tumor assessment (RECIST v1.1) </w:t>
            </w:r>
            <w:r w:rsidR="000D633D">
              <w:rPr>
                <w:vertAlign w:val="superscript"/>
              </w:rPr>
              <w:fldChar w:fldCharType="begin"/>
            </w:r>
            <w:r w:rsidR="000D633D">
              <w:rPr>
                <w:vertAlign w:val="superscript"/>
              </w:rPr>
              <w:instrText xml:space="preserve"> REF _Ref233800752 \n \h </w:instrText>
            </w:r>
            <w:r w:rsidR="000D633D">
              <w:rPr>
                <w:vertAlign w:val="superscript"/>
              </w:rPr>
            </w:r>
            <w:r w:rsidR="000D633D">
              <w:rPr>
                <w:vertAlign w:val="superscript"/>
              </w:rPr>
              <w:fldChar w:fldCharType="separate"/>
            </w:r>
            <w:r w:rsidR="00272496" w:rsidRPr="00272496">
              <w:rPr>
                <w:color w:val="0000FF"/>
                <w:vertAlign w:val="superscript"/>
              </w:rPr>
              <w:t>g</w:t>
            </w:r>
            <w:r w:rsidR="000D633D">
              <w:rPr>
                <w:vertAlign w:val="superscript"/>
              </w:rPr>
              <w:fldChar w:fldCharType="end"/>
            </w:r>
          </w:p>
        </w:tc>
        <w:tc>
          <w:tcPr>
            <w:tcW w:w="521" w:type="pct"/>
          </w:tcPr>
          <w:p w14:paraId="7A5BDBDF" w14:textId="5634B20A" w:rsidR="00F614C8" w:rsidRPr="005552F9" w:rsidRDefault="00F614C8" w:rsidP="00F614C8">
            <w:pPr>
              <w:pStyle w:val="V-tablebody"/>
            </w:pPr>
            <w:r w:rsidRPr="005552F9">
              <w:t>X</w:t>
            </w:r>
          </w:p>
        </w:tc>
        <w:tc>
          <w:tcPr>
            <w:tcW w:w="353" w:type="pct"/>
          </w:tcPr>
          <w:p w14:paraId="310EF20C" w14:textId="77777777" w:rsidR="00F614C8" w:rsidRPr="005552F9" w:rsidRDefault="00F614C8" w:rsidP="00F614C8">
            <w:pPr>
              <w:pStyle w:val="V-tablebody"/>
            </w:pPr>
          </w:p>
        </w:tc>
        <w:tc>
          <w:tcPr>
            <w:tcW w:w="353" w:type="pct"/>
          </w:tcPr>
          <w:p w14:paraId="25688FC0" w14:textId="77777777" w:rsidR="00F614C8" w:rsidRPr="005552F9" w:rsidRDefault="00F614C8" w:rsidP="00F614C8">
            <w:pPr>
              <w:pStyle w:val="V-tablebody"/>
            </w:pPr>
          </w:p>
        </w:tc>
        <w:tc>
          <w:tcPr>
            <w:tcW w:w="353" w:type="pct"/>
          </w:tcPr>
          <w:p w14:paraId="375F86FA" w14:textId="77777777" w:rsidR="00F614C8" w:rsidRPr="005552F9" w:rsidRDefault="00F614C8" w:rsidP="00F614C8">
            <w:pPr>
              <w:pStyle w:val="V-tablebody"/>
            </w:pPr>
          </w:p>
        </w:tc>
        <w:tc>
          <w:tcPr>
            <w:tcW w:w="413" w:type="pct"/>
          </w:tcPr>
          <w:p w14:paraId="66C9F092" w14:textId="77777777" w:rsidR="00F614C8" w:rsidRPr="005552F9" w:rsidRDefault="00F614C8" w:rsidP="00F614C8">
            <w:pPr>
              <w:pStyle w:val="V-tablebody"/>
            </w:pPr>
          </w:p>
        </w:tc>
        <w:tc>
          <w:tcPr>
            <w:tcW w:w="537" w:type="pct"/>
          </w:tcPr>
          <w:p w14:paraId="6C1F0361" w14:textId="77777777" w:rsidR="00F614C8" w:rsidRPr="005552F9" w:rsidRDefault="00F614C8" w:rsidP="00F614C8">
            <w:pPr>
              <w:pStyle w:val="V-tablebody"/>
            </w:pPr>
          </w:p>
        </w:tc>
        <w:tc>
          <w:tcPr>
            <w:tcW w:w="585" w:type="pct"/>
          </w:tcPr>
          <w:p w14:paraId="0C5356DC" w14:textId="76B744EF" w:rsidR="00F614C8" w:rsidRPr="005552F9" w:rsidRDefault="00F614C8" w:rsidP="00F614C8">
            <w:pPr>
              <w:pStyle w:val="V-tablebody"/>
            </w:pPr>
            <w:r w:rsidRPr="005552F9">
              <w:t xml:space="preserve">X </w:t>
            </w:r>
            <w:r w:rsidR="000D633D">
              <w:rPr>
                <w:vertAlign w:val="superscript"/>
              </w:rPr>
              <w:fldChar w:fldCharType="begin"/>
            </w:r>
            <w:r w:rsidR="000D633D">
              <w:rPr>
                <w:vertAlign w:val="superscript"/>
              </w:rPr>
              <w:instrText xml:space="preserve"> REF _Ref233800754 \n \h </w:instrText>
            </w:r>
            <w:r w:rsidR="000D633D">
              <w:rPr>
                <w:vertAlign w:val="superscript"/>
              </w:rPr>
            </w:r>
            <w:r w:rsidR="000D633D">
              <w:rPr>
                <w:vertAlign w:val="superscript"/>
              </w:rPr>
              <w:fldChar w:fldCharType="separate"/>
            </w:r>
            <w:r w:rsidR="00272496" w:rsidRPr="00272496">
              <w:rPr>
                <w:color w:val="0000FF"/>
                <w:vertAlign w:val="superscript"/>
              </w:rPr>
              <w:t>h</w:t>
            </w:r>
            <w:r w:rsidR="000D633D">
              <w:rPr>
                <w:vertAlign w:val="superscript"/>
              </w:rPr>
              <w:fldChar w:fldCharType="end"/>
            </w:r>
          </w:p>
        </w:tc>
        <w:tc>
          <w:tcPr>
            <w:tcW w:w="688" w:type="pct"/>
          </w:tcPr>
          <w:p w14:paraId="235E17CF" w14:textId="77777777" w:rsidR="00F614C8" w:rsidRPr="005552F9" w:rsidRDefault="00F614C8" w:rsidP="00F614C8">
            <w:pPr>
              <w:pStyle w:val="V-tablebody"/>
            </w:pPr>
          </w:p>
        </w:tc>
      </w:tr>
      <w:tr w:rsidR="00F614C8" w:rsidRPr="005552F9" w14:paraId="4FC21E9A" w14:textId="77777777" w:rsidTr="00B57F24">
        <w:tc>
          <w:tcPr>
            <w:tcW w:w="1197" w:type="pct"/>
            <w:vAlign w:val="center"/>
          </w:tcPr>
          <w:p w14:paraId="6E02624C" w14:textId="77777777" w:rsidR="00F614C8" w:rsidRPr="005552F9" w:rsidRDefault="00F614C8" w:rsidP="00F614C8">
            <w:pPr>
              <w:pStyle w:val="V-tablebody"/>
              <w:jc w:val="left"/>
            </w:pPr>
            <w:r w:rsidRPr="005552F9">
              <w:t>DRUG‑123 administration</w:t>
            </w:r>
          </w:p>
        </w:tc>
        <w:tc>
          <w:tcPr>
            <w:tcW w:w="521" w:type="pct"/>
          </w:tcPr>
          <w:p w14:paraId="6C81DCFE" w14:textId="77777777" w:rsidR="00F614C8" w:rsidRPr="005552F9" w:rsidRDefault="00F614C8" w:rsidP="00F614C8">
            <w:pPr>
              <w:pStyle w:val="V-tablebody"/>
            </w:pPr>
          </w:p>
        </w:tc>
        <w:tc>
          <w:tcPr>
            <w:tcW w:w="353" w:type="pct"/>
          </w:tcPr>
          <w:p w14:paraId="4D07DEF4" w14:textId="136BC46C" w:rsidR="00F614C8" w:rsidRPr="005552F9" w:rsidRDefault="00F614C8" w:rsidP="00F614C8">
            <w:pPr>
              <w:pStyle w:val="V-tablebody"/>
            </w:pPr>
            <w:r w:rsidRPr="005552F9">
              <w:t>X</w:t>
            </w:r>
          </w:p>
        </w:tc>
        <w:tc>
          <w:tcPr>
            <w:tcW w:w="353" w:type="pct"/>
          </w:tcPr>
          <w:p w14:paraId="42011906" w14:textId="77777777" w:rsidR="00F614C8" w:rsidRPr="005552F9" w:rsidRDefault="00F614C8" w:rsidP="00F614C8">
            <w:pPr>
              <w:pStyle w:val="V-tablebody"/>
            </w:pPr>
          </w:p>
        </w:tc>
        <w:tc>
          <w:tcPr>
            <w:tcW w:w="353" w:type="pct"/>
          </w:tcPr>
          <w:p w14:paraId="3F29C19D" w14:textId="77777777" w:rsidR="00F614C8" w:rsidRPr="005552F9" w:rsidRDefault="00F614C8" w:rsidP="00F614C8">
            <w:pPr>
              <w:pStyle w:val="V-tablebody"/>
            </w:pPr>
          </w:p>
        </w:tc>
        <w:tc>
          <w:tcPr>
            <w:tcW w:w="413" w:type="pct"/>
          </w:tcPr>
          <w:p w14:paraId="3FF573FC" w14:textId="77777777" w:rsidR="00F614C8" w:rsidRPr="005552F9" w:rsidRDefault="00F614C8" w:rsidP="00F614C8">
            <w:pPr>
              <w:pStyle w:val="V-tablebody"/>
            </w:pPr>
          </w:p>
        </w:tc>
        <w:tc>
          <w:tcPr>
            <w:tcW w:w="537" w:type="pct"/>
          </w:tcPr>
          <w:p w14:paraId="466F5D1E" w14:textId="77777777" w:rsidR="00F614C8" w:rsidRPr="005552F9" w:rsidRDefault="00F614C8" w:rsidP="00F614C8">
            <w:pPr>
              <w:pStyle w:val="V-tablebody"/>
            </w:pPr>
            <w:r w:rsidRPr="005552F9">
              <w:t>X</w:t>
            </w:r>
          </w:p>
        </w:tc>
        <w:tc>
          <w:tcPr>
            <w:tcW w:w="585" w:type="pct"/>
          </w:tcPr>
          <w:p w14:paraId="6C965635" w14:textId="49A8741C" w:rsidR="00F614C8" w:rsidRPr="005552F9" w:rsidRDefault="00F614C8" w:rsidP="00F614C8">
            <w:pPr>
              <w:pStyle w:val="V-tablebody"/>
            </w:pPr>
            <w:r w:rsidRPr="005552F9">
              <w:t>X</w:t>
            </w:r>
          </w:p>
        </w:tc>
        <w:tc>
          <w:tcPr>
            <w:tcW w:w="688" w:type="pct"/>
          </w:tcPr>
          <w:p w14:paraId="5FFF39CE" w14:textId="77777777" w:rsidR="00F614C8" w:rsidRPr="005552F9" w:rsidRDefault="00F614C8" w:rsidP="00F614C8">
            <w:pPr>
              <w:pStyle w:val="V-tablebody"/>
            </w:pPr>
          </w:p>
        </w:tc>
      </w:tr>
      <w:tr w:rsidR="00F614C8" w:rsidRPr="005552F9" w14:paraId="697B8F9B" w14:textId="77777777" w:rsidTr="00B57F24">
        <w:tc>
          <w:tcPr>
            <w:tcW w:w="1197" w:type="pct"/>
            <w:vAlign w:val="center"/>
          </w:tcPr>
          <w:p w14:paraId="651CE0D2" w14:textId="6FDC7956" w:rsidR="00F614C8" w:rsidRPr="005552F9" w:rsidRDefault="00F614C8" w:rsidP="00F614C8">
            <w:pPr>
              <w:pStyle w:val="V-tablebody"/>
              <w:jc w:val="left"/>
            </w:pPr>
            <w:r w:rsidRPr="005552F9">
              <w:lastRenderedPageBreak/>
              <w:t xml:space="preserve">Intensive PK sampling </w:t>
            </w:r>
            <w:r w:rsidR="000D633D">
              <w:rPr>
                <w:vertAlign w:val="superscript"/>
              </w:rPr>
              <w:fldChar w:fldCharType="begin"/>
            </w:r>
            <w:r w:rsidR="000D633D">
              <w:rPr>
                <w:vertAlign w:val="superscript"/>
              </w:rPr>
              <w:instrText xml:space="preserve"> REF _Ref233800756 \n \h </w:instrText>
            </w:r>
            <w:r w:rsidR="000D633D">
              <w:rPr>
                <w:vertAlign w:val="superscript"/>
              </w:rPr>
            </w:r>
            <w:r w:rsidR="000D633D">
              <w:rPr>
                <w:vertAlign w:val="superscript"/>
              </w:rPr>
              <w:fldChar w:fldCharType="separate"/>
            </w:r>
            <w:r w:rsidR="00272496" w:rsidRPr="00272496">
              <w:rPr>
                <w:color w:val="0000FF"/>
                <w:vertAlign w:val="superscript"/>
              </w:rPr>
              <w:t>i</w:t>
            </w:r>
            <w:r w:rsidR="000D633D">
              <w:rPr>
                <w:vertAlign w:val="superscript"/>
              </w:rPr>
              <w:fldChar w:fldCharType="end"/>
            </w:r>
          </w:p>
        </w:tc>
        <w:tc>
          <w:tcPr>
            <w:tcW w:w="521" w:type="pct"/>
          </w:tcPr>
          <w:p w14:paraId="1FE9C131" w14:textId="77777777" w:rsidR="00F614C8" w:rsidRPr="005552F9" w:rsidRDefault="00F614C8" w:rsidP="00F614C8">
            <w:pPr>
              <w:pStyle w:val="V-tablebody"/>
            </w:pPr>
          </w:p>
        </w:tc>
        <w:tc>
          <w:tcPr>
            <w:tcW w:w="353" w:type="pct"/>
          </w:tcPr>
          <w:p w14:paraId="65A533AA" w14:textId="77777777" w:rsidR="00F614C8" w:rsidRPr="005552F9" w:rsidRDefault="00F614C8" w:rsidP="00F614C8">
            <w:pPr>
              <w:pStyle w:val="V-tablebody"/>
            </w:pPr>
            <w:r w:rsidRPr="005552F9">
              <w:t>X</w:t>
            </w:r>
          </w:p>
        </w:tc>
        <w:tc>
          <w:tcPr>
            <w:tcW w:w="353" w:type="pct"/>
          </w:tcPr>
          <w:p w14:paraId="0DBBE9D0" w14:textId="77777777" w:rsidR="00F614C8" w:rsidRPr="005552F9" w:rsidRDefault="00F614C8" w:rsidP="00F614C8">
            <w:pPr>
              <w:pStyle w:val="V-tablebody"/>
            </w:pPr>
            <w:r w:rsidRPr="005552F9">
              <w:t>X</w:t>
            </w:r>
          </w:p>
        </w:tc>
        <w:tc>
          <w:tcPr>
            <w:tcW w:w="353" w:type="pct"/>
          </w:tcPr>
          <w:p w14:paraId="7D0576FF" w14:textId="77777777" w:rsidR="00F614C8" w:rsidRPr="005552F9" w:rsidRDefault="00F614C8" w:rsidP="00F614C8">
            <w:pPr>
              <w:pStyle w:val="V-tablebody"/>
            </w:pPr>
          </w:p>
        </w:tc>
        <w:tc>
          <w:tcPr>
            <w:tcW w:w="413" w:type="pct"/>
          </w:tcPr>
          <w:p w14:paraId="55B31BCE" w14:textId="77777777" w:rsidR="00F614C8" w:rsidRPr="005552F9" w:rsidRDefault="00F614C8" w:rsidP="00F614C8">
            <w:pPr>
              <w:pStyle w:val="V-tablebody"/>
            </w:pPr>
          </w:p>
        </w:tc>
        <w:tc>
          <w:tcPr>
            <w:tcW w:w="537" w:type="pct"/>
          </w:tcPr>
          <w:p w14:paraId="533EA1C0" w14:textId="77777777" w:rsidR="00F614C8" w:rsidRPr="005552F9" w:rsidRDefault="00F614C8" w:rsidP="00F614C8">
            <w:pPr>
              <w:pStyle w:val="V-tablebody"/>
            </w:pPr>
          </w:p>
        </w:tc>
        <w:tc>
          <w:tcPr>
            <w:tcW w:w="585" w:type="pct"/>
          </w:tcPr>
          <w:p w14:paraId="5EE2BEA8" w14:textId="77777777" w:rsidR="00F614C8" w:rsidRPr="005552F9" w:rsidRDefault="00F614C8" w:rsidP="00F614C8">
            <w:pPr>
              <w:pStyle w:val="V-tablebody"/>
            </w:pPr>
          </w:p>
        </w:tc>
        <w:tc>
          <w:tcPr>
            <w:tcW w:w="688" w:type="pct"/>
          </w:tcPr>
          <w:p w14:paraId="4EB9AA83" w14:textId="77777777" w:rsidR="00F614C8" w:rsidRPr="005552F9" w:rsidRDefault="00F614C8" w:rsidP="00F614C8">
            <w:pPr>
              <w:pStyle w:val="V-tablebody"/>
            </w:pPr>
          </w:p>
        </w:tc>
      </w:tr>
      <w:tr w:rsidR="00F614C8" w:rsidRPr="005552F9" w14:paraId="62476465" w14:textId="77777777" w:rsidTr="00B57F24">
        <w:tc>
          <w:tcPr>
            <w:tcW w:w="1197" w:type="pct"/>
            <w:vAlign w:val="center"/>
          </w:tcPr>
          <w:p w14:paraId="44410DE4" w14:textId="77777777" w:rsidR="00F614C8" w:rsidRPr="005552F9" w:rsidRDefault="00F614C8" w:rsidP="00F614C8">
            <w:pPr>
              <w:pStyle w:val="V-tablebody"/>
              <w:jc w:val="left"/>
            </w:pPr>
            <w:r w:rsidRPr="005552F9">
              <w:t>Trough PK (predose)</w:t>
            </w:r>
          </w:p>
        </w:tc>
        <w:tc>
          <w:tcPr>
            <w:tcW w:w="521" w:type="pct"/>
          </w:tcPr>
          <w:p w14:paraId="0EBEC2D7" w14:textId="77777777" w:rsidR="00F614C8" w:rsidRPr="005552F9" w:rsidRDefault="00F614C8" w:rsidP="00F614C8">
            <w:pPr>
              <w:pStyle w:val="V-tablebody"/>
            </w:pPr>
          </w:p>
        </w:tc>
        <w:tc>
          <w:tcPr>
            <w:tcW w:w="353" w:type="pct"/>
          </w:tcPr>
          <w:p w14:paraId="474571DF" w14:textId="77777777" w:rsidR="00F614C8" w:rsidRPr="005552F9" w:rsidRDefault="00F614C8" w:rsidP="00F614C8">
            <w:pPr>
              <w:pStyle w:val="V-tablebody"/>
            </w:pPr>
          </w:p>
        </w:tc>
        <w:tc>
          <w:tcPr>
            <w:tcW w:w="353" w:type="pct"/>
          </w:tcPr>
          <w:p w14:paraId="4E2E4197" w14:textId="77777777" w:rsidR="00F614C8" w:rsidRPr="005552F9" w:rsidRDefault="00F614C8" w:rsidP="00F614C8">
            <w:pPr>
              <w:pStyle w:val="V-tablebody"/>
            </w:pPr>
          </w:p>
        </w:tc>
        <w:tc>
          <w:tcPr>
            <w:tcW w:w="353" w:type="pct"/>
          </w:tcPr>
          <w:p w14:paraId="5F9725EE" w14:textId="77777777" w:rsidR="00F614C8" w:rsidRPr="005552F9" w:rsidRDefault="00F614C8" w:rsidP="00F614C8">
            <w:pPr>
              <w:pStyle w:val="V-tablebody"/>
            </w:pPr>
          </w:p>
        </w:tc>
        <w:tc>
          <w:tcPr>
            <w:tcW w:w="413" w:type="pct"/>
          </w:tcPr>
          <w:p w14:paraId="449700C4" w14:textId="77777777" w:rsidR="00F614C8" w:rsidRPr="005552F9" w:rsidRDefault="00F614C8" w:rsidP="00F614C8">
            <w:pPr>
              <w:pStyle w:val="V-tablebody"/>
            </w:pPr>
          </w:p>
        </w:tc>
        <w:tc>
          <w:tcPr>
            <w:tcW w:w="537" w:type="pct"/>
          </w:tcPr>
          <w:p w14:paraId="700528DB" w14:textId="77777777" w:rsidR="00F614C8" w:rsidRPr="005552F9" w:rsidRDefault="00F614C8" w:rsidP="00F614C8">
            <w:pPr>
              <w:pStyle w:val="V-tablebody"/>
            </w:pPr>
          </w:p>
        </w:tc>
        <w:tc>
          <w:tcPr>
            <w:tcW w:w="585" w:type="pct"/>
          </w:tcPr>
          <w:p w14:paraId="5FD71D20" w14:textId="77777777" w:rsidR="00F614C8" w:rsidRPr="005552F9" w:rsidRDefault="00F614C8" w:rsidP="00F614C8">
            <w:pPr>
              <w:pStyle w:val="V-tablebody"/>
            </w:pPr>
            <w:r w:rsidRPr="005552F9">
              <w:t>X</w:t>
            </w:r>
          </w:p>
        </w:tc>
        <w:tc>
          <w:tcPr>
            <w:tcW w:w="688" w:type="pct"/>
          </w:tcPr>
          <w:p w14:paraId="03EF8E8C" w14:textId="77777777" w:rsidR="00F614C8" w:rsidRPr="005552F9" w:rsidRDefault="00F614C8" w:rsidP="00F614C8">
            <w:pPr>
              <w:pStyle w:val="V-tablebody"/>
            </w:pPr>
          </w:p>
        </w:tc>
      </w:tr>
      <w:tr w:rsidR="00F614C8" w:rsidRPr="005552F9" w14:paraId="27EB4403" w14:textId="77777777" w:rsidTr="00B57F24">
        <w:tc>
          <w:tcPr>
            <w:tcW w:w="1197" w:type="pct"/>
            <w:vAlign w:val="center"/>
          </w:tcPr>
          <w:p w14:paraId="67E368F4" w14:textId="77777777" w:rsidR="00F614C8" w:rsidRPr="005552F9" w:rsidRDefault="00F614C8" w:rsidP="00F614C8">
            <w:pPr>
              <w:pStyle w:val="V-tablebody"/>
              <w:jc w:val="left"/>
            </w:pPr>
            <w:r w:rsidRPr="005552F9">
              <w:t>Pharmacodynamic / biomarker samples</w:t>
            </w:r>
          </w:p>
        </w:tc>
        <w:tc>
          <w:tcPr>
            <w:tcW w:w="521" w:type="pct"/>
          </w:tcPr>
          <w:p w14:paraId="1A3E58EC" w14:textId="77777777" w:rsidR="00F614C8" w:rsidRPr="005552F9" w:rsidRDefault="00F614C8" w:rsidP="00F614C8">
            <w:pPr>
              <w:pStyle w:val="V-tablebody"/>
            </w:pPr>
            <w:r w:rsidRPr="005552F9">
              <w:t>X</w:t>
            </w:r>
          </w:p>
        </w:tc>
        <w:tc>
          <w:tcPr>
            <w:tcW w:w="353" w:type="pct"/>
          </w:tcPr>
          <w:p w14:paraId="64E60802" w14:textId="77777777" w:rsidR="00F614C8" w:rsidRPr="005552F9" w:rsidRDefault="00F614C8" w:rsidP="00F614C8">
            <w:pPr>
              <w:pStyle w:val="V-tablebody"/>
            </w:pPr>
            <w:r w:rsidRPr="005552F9">
              <w:t>X</w:t>
            </w:r>
          </w:p>
        </w:tc>
        <w:tc>
          <w:tcPr>
            <w:tcW w:w="353" w:type="pct"/>
          </w:tcPr>
          <w:p w14:paraId="67CE305B" w14:textId="77777777" w:rsidR="00F614C8" w:rsidRPr="005552F9" w:rsidRDefault="00F614C8" w:rsidP="00F614C8">
            <w:pPr>
              <w:pStyle w:val="V-tablebody"/>
            </w:pPr>
          </w:p>
        </w:tc>
        <w:tc>
          <w:tcPr>
            <w:tcW w:w="353" w:type="pct"/>
          </w:tcPr>
          <w:p w14:paraId="6C220805" w14:textId="77777777" w:rsidR="00F614C8" w:rsidRPr="005552F9" w:rsidRDefault="00F614C8" w:rsidP="00F614C8">
            <w:pPr>
              <w:pStyle w:val="V-tablebody"/>
            </w:pPr>
            <w:r w:rsidRPr="005552F9">
              <w:t>X</w:t>
            </w:r>
          </w:p>
        </w:tc>
        <w:tc>
          <w:tcPr>
            <w:tcW w:w="413" w:type="pct"/>
          </w:tcPr>
          <w:p w14:paraId="709A9668" w14:textId="77777777" w:rsidR="00F614C8" w:rsidRPr="005552F9" w:rsidRDefault="00F614C8" w:rsidP="00F614C8">
            <w:pPr>
              <w:pStyle w:val="V-tablebody"/>
            </w:pPr>
          </w:p>
        </w:tc>
        <w:tc>
          <w:tcPr>
            <w:tcW w:w="537" w:type="pct"/>
          </w:tcPr>
          <w:p w14:paraId="758917E0" w14:textId="77777777" w:rsidR="00F614C8" w:rsidRPr="005552F9" w:rsidRDefault="00F614C8" w:rsidP="00F614C8">
            <w:pPr>
              <w:pStyle w:val="V-tablebody"/>
            </w:pPr>
          </w:p>
        </w:tc>
        <w:tc>
          <w:tcPr>
            <w:tcW w:w="585" w:type="pct"/>
          </w:tcPr>
          <w:p w14:paraId="0D8AABFF" w14:textId="77777777" w:rsidR="00F614C8" w:rsidRPr="005552F9" w:rsidRDefault="00F614C8" w:rsidP="00F614C8">
            <w:pPr>
              <w:pStyle w:val="V-tablebody"/>
            </w:pPr>
            <w:r w:rsidRPr="005552F9">
              <w:t>X</w:t>
            </w:r>
          </w:p>
        </w:tc>
        <w:tc>
          <w:tcPr>
            <w:tcW w:w="688" w:type="pct"/>
          </w:tcPr>
          <w:p w14:paraId="594A7D9B" w14:textId="77777777" w:rsidR="00F614C8" w:rsidRPr="005552F9" w:rsidRDefault="00F614C8" w:rsidP="00F614C8">
            <w:pPr>
              <w:pStyle w:val="V-tablebody"/>
            </w:pPr>
          </w:p>
        </w:tc>
      </w:tr>
      <w:tr w:rsidR="00F614C8" w:rsidRPr="005552F9" w14:paraId="769776EA" w14:textId="77777777" w:rsidTr="00B57F24">
        <w:tc>
          <w:tcPr>
            <w:tcW w:w="1197" w:type="pct"/>
            <w:vAlign w:val="center"/>
          </w:tcPr>
          <w:p w14:paraId="57DB2EB5" w14:textId="77777777" w:rsidR="00F614C8" w:rsidRPr="005552F9" w:rsidRDefault="00F614C8" w:rsidP="00F614C8">
            <w:pPr>
              <w:pStyle w:val="V-tablebody"/>
              <w:jc w:val="left"/>
            </w:pPr>
            <w:r w:rsidRPr="005552F9">
              <w:t>Adverse event review</w:t>
            </w:r>
          </w:p>
        </w:tc>
        <w:tc>
          <w:tcPr>
            <w:tcW w:w="521" w:type="pct"/>
          </w:tcPr>
          <w:p w14:paraId="0E9BC5ED" w14:textId="77777777" w:rsidR="00F614C8" w:rsidRPr="005552F9" w:rsidRDefault="00F614C8" w:rsidP="00F614C8">
            <w:pPr>
              <w:pStyle w:val="V-tablebody"/>
            </w:pPr>
            <w:r w:rsidRPr="005552F9">
              <w:t>X</w:t>
            </w:r>
          </w:p>
        </w:tc>
        <w:tc>
          <w:tcPr>
            <w:tcW w:w="353" w:type="pct"/>
          </w:tcPr>
          <w:p w14:paraId="0904C55B" w14:textId="77777777" w:rsidR="00F614C8" w:rsidRPr="005552F9" w:rsidRDefault="00F614C8" w:rsidP="00F614C8">
            <w:pPr>
              <w:pStyle w:val="V-tablebody"/>
            </w:pPr>
            <w:r w:rsidRPr="005552F9">
              <w:t>X</w:t>
            </w:r>
          </w:p>
        </w:tc>
        <w:tc>
          <w:tcPr>
            <w:tcW w:w="353" w:type="pct"/>
          </w:tcPr>
          <w:p w14:paraId="1713E6A3" w14:textId="77777777" w:rsidR="00F614C8" w:rsidRPr="005552F9" w:rsidRDefault="00F614C8" w:rsidP="00F614C8">
            <w:pPr>
              <w:pStyle w:val="V-tablebody"/>
            </w:pPr>
            <w:r w:rsidRPr="005552F9">
              <w:t>X</w:t>
            </w:r>
          </w:p>
        </w:tc>
        <w:tc>
          <w:tcPr>
            <w:tcW w:w="353" w:type="pct"/>
          </w:tcPr>
          <w:p w14:paraId="7183C5FE" w14:textId="77777777" w:rsidR="00F614C8" w:rsidRPr="005552F9" w:rsidRDefault="00F614C8" w:rsidP="00F614C8">
            <w:pPr>
              <w:pStyle w:val="V-tablebody"/>
            </w:pPr>
            <w:r w:rsidRPr="005552F9">
              <w:t>X</w:t>
            </w:r>
          </w:p>
        </w:tc>
        <w:tc>
          <w:tcPr>
            <w:tcW w:w="413" w:type="pct"/>
          </w:tcPr>
          <w:p w14:paraId="674F85C0" w14:textId="77777777" w:rsidR="00F614C8" w:rsidRPr="005552F9" w:rsidRDefault="00F614C8" w:rsidP="00F614C8">
            <w:pPr>
              <w:pStyle w:val="V-tablebody"/>
            </w:pPr>
            <w:r w:rsidRPr="005552F9">
              <w:t>X</w:t>
            </w:r>
          </w:p>
        </w:tc>
        <w:tc>
          <w:tcPr>
            <w:tcW w:w="537" w:type="pct"/>
          </w:tcPr>
          <w:p w14:paraId="70CB06EA" w14:textId="77777777" w:rsidR="00F614C8" w:rsidRPr="005552F9" w:rsidRDefault="00F614C8" w:rsidP="00F614C8">
            <w:pPr>
              <w:pStyle w:val="V-tablebody"/>
            </w:pPr>
            <w:r w:rsidRPr="005552F9">
              <w:t>X</w:t>
            </w:r>
          </w:p>
        </w:tc>
        <w:tc>
          <w:tcPr>
            <w:tcW w:w="585" w:type="pct"/>
          </w:tcPr>
          <w:p w14:paraId="0A6B31DB" w14:textId="77777777" w:rsidR="00F614C8" w:rsidRPr="005552F9" w:rsidRDefault="00F614C8" w:rsidP="00F614C8">
            <w:pPr>
              <w:pStyle w:val="V-tablebody"/>
            </w:pPr>
            <w:r w:rsidRPr="005552F9">
              <w:t>X</w:t>
            </w:r>
          </w:p>
        </w:tc>
        <w:tc>
          <w:tcPr>
            <w:tcW w:w="688" w:type="pct"/>
          </w:tcPr>
          <w:p w14:paraId="2FEDA0D7" w14:textId="0A50E446" w:rsidR="00F614C8" w:rsidRPr="005552F9" w:rsidRDefault="00F614C8" w:rsidP="00F614C8">
            <w:pPr>
              <w:pStyle w:val="V-tablebody"/>
            </w:pPr>
            <w:r>
              <w:t>X</w:t>
            </w:r>
          </w:p>
        </w:tc>
      </w:tr>
      <w:tr w:rsidR="00F614C8" w:rsidRPr="005552F9" w14:paraId="28322E04" w14:textId="77777777" w:rsidTr="00B57F24">
        <w:tc>
          <w:tcPr>
            <w:tcW w:w="1197" w:type="pct"/>
            <w:vAlign w:val="center"/>
          </w:tcPr>
          <w:p w14:paraId="2BB9E505" w14:textId="77777777" w:rsidR="00F614C8" w:rsidRPr="005552F9" w:rsidRDefault="00F614C8" w:rsidP="00F614C8">
            <w:pPr>
              <w:pStyle w:val="V-tablebody"/>
              <w:jc w:val="left"/>
            </w:pPr>
            <w:r w:rsidRPr="005552F9">
              <w:t>Concomitant medication review</w:t>
            </w:r>
          </w:p>
        </w:tc>
        <w:tc>
          <w:tcPr>
            <w:tcW w:w="521" w:type="pct"/>
          </w:tcPr>
          <w:p w14:paraId="1593CDF5" w14:textId="6D3D502F" w:rsidR="00F614C8" w:rsidRPr="005552F9" w:rsidRDefault="00F614C8" w:rsidP="00F614C8">
            <w:pPr>
              <w:pStyle w:val="V-tablebody"/>
            </w:pPr>
          </w:p>
        </w:tc>
        <w:tc>
          <w:tcPr>
            <w:tcW w:w="353" w:type="pct"/>
          </w:tcPr>
          <w:p w14:paraId="6250DB03" w14:textId="77777777" w:rsidR="00F614C8" w:rsidRPr="005552F9" w:rsidRDefault="00F614C8" w:rsidP="00F614C8">
            <w:pPr>
              <w:pStyle w:val="V-tablebody"/>
            </w:pPr>
            <w:r w:rsidRPr="005552F9">
              <w:t>X</w:t>
            </w:r>
          </w:p>
        </w:tc>
        <w:tc>
          <w:tcPr>
            <w:tcW w:w="353" w:type="pct"/>
          </w:tcPr>
          <w:p w14:paraId="52EEE5F8" w14:textId="77777777" w:rsidR="00F614C8" w:rsidRPr="005552F9" w:rsidRDefault="00F614C8" w:rsidP="00F614C8">
            <w:pPr>
              <w:pStyle w:val="V-tablebody"/>
            </w:pPr>
            <w:r w:rsidRPr="005552F9">
              <w:t>X</w:t>
            </w:r>
          </w:p>
        </w:tc>
        <w:tc>
          <w:tcPr>
            <w:tcW w:w="353" w:type="pct"/>
          </w:tcPr>
          <w:p w14:paraId="31F939CE" w14:textId="77777777" w:rsidR="00F614C8" w:rsidRPr="005552F9" w:rsidRDefault="00F614C8" w:rsidP="00F614C8">
            <w:pPr>
              <w:pStyle w:val="V-tablebody"/>
            </w:pPr>
            <w:r w:rsidRPr="005552F9">
              <w:t>X</w:t>
            </w:r>
          </w:p>
        </w:tc>
        <w:tc>
          <w:tcPr>
            <w:tcW w:w="413" w:type="pct"/>
          </w:tcPr>
          <w:p w14:paraId="412B5E17" w14:textId="77777777" w:rsidR="00F614C8" w:rsidRPr="005552F9" w:rsidRDefault="00F614C8" w:rsidP="00F614C8">
            <w:pPr>
              <w:pStyle w:val="V-tablebody"/>
            </w:pPr>
            <w:r w:rsidRPr="005552F9">
              <w:t>X</w:t>
            </w:r>
          </w:p>
        </w:tc>
        <w:tc>
          <w:tcPr>
            <w:tcW w:w="537" w:type="pct"/>
          </w:tcPr>
          <w:p w14:paraId="37C5726C" w14:textId="77777777" w:rsidR="00F614C8" w:rsidRPr="005552F9" w:rsidRDefault="00F614C8" w:rsidP="00F614C8">
            <w:pPr>
              <w:pStyle w:val="V-tablebody"/>
            </w:pPr>
            <w:r w:rsidRPr="005552F9">
              <w:t>X</w:t>
            </w:r>
          </w:p>
        </w:tc>
        <w:tc>
          <w:tcPr>
            <w:tcW w:w="585" w:type="pct"/>
          </w:tcPr>
          <w:p w14:paraId="5D4B5DCD" w14:textId="77777777" w:rsidR="00F614C8" w:rsidRPr="005552F9" w:rsidRDefault="00F614C8" w:rsidP="00F614C8">
            <w:pPr>
              <w:pStyle w:val="V-tablebody"/>
            </w:pPr>
            <w:r w:rsidRPr="005552F9">
              <w:t>X</w:t>
            </w:r>
          </w:p>
        </w:tc>
        <w:tc>
          <w:tcPr>
            <w:tcW w:w="688" w:type="pct"/>
          </w:tcPr>
          <w:p w14:paraId="17E08F98" w14:textId="17597915" w:rsidR="00F614C8" w:rsidRPr="005552F9" w:rsidRDefault="00F614C8" w:rsidP="00F614C8">
            <w:pPr>
              <w:pStyle w:val="V-tablebody"/>
            </w:pPr>
            <w:r>
              <w:t>X</w:t>
            </w:r>
          </w:p>
        </w:tc>
      </w:tr>
    </w:tbl>
    <w:p w14:paraId="281C0F98" w14:textId="77777777" w:rsidR="00A06EB3" w:rsidRPr="00A06EB3" w:rsidRDefault="00A06EB3">
      <w:pPr>
        <w:pStyle w:val="V-tablefootnote"/>
        <w:spacing w:after="60"/>
        <w:rPr>
          <w:iCs/>
        </w:rPr>
      </w:pPr>
      <w:r>
        <w:rPr>
          <w:iCs/>
        </w:rPr>
        <w:t>Abbreviations: ADA = anti-drug antibody; AUC = area under the concentration-time curve; CL = clearance; C</w:t>
      </w:r>
      <w:r>
        <w:rPr>
          <w:iCs/>
          <w:vertAlign w:val="subscript"/>
        </w:rPr>
        <w:t>max</w:t>
      </w:r>
      <w:r>
        <w:rPr>
          <w:iCs/>
        </w:rPr>
        <w:t xml:space="preserve"> = maximum concentration; DLT = dose-limiting toxicity; ECG = electrocardiogram; ECOG = Eastern Cooperative Oncology Group; EOT = end of treatment; FU = follow-up; PK = pharmacokinetic; RECIST = Response Evaluation Criteria in Solid Tumors; T</w:t>
      </w:r>
      <w:r>
        <w:rPr>
          <w:iCs/>
          <w:vertAlign w:val="subscript"/>
        </w:rPr>
        <w:t>max</w:t>
      </w:r>
      <w:r>
        <w:rPr>
          <w:iCs/>
        </w:rPr>
        <w:t xml:space="preserve"> = time to maximum concentration; V</w:t>
      </w:r>
      <w:r>
        <w:rPr>
          <w:iCs/>
          <w:vertAlign w:val="subscript"/>
        </w:rPr>
        <w:t>ss</w:t>
      </w:r>
      <w:r>
        <w:rPr>
          <w:iCs/>
        </w:rPr>
        <w:t xml:space="preserve"> = volume of distribution at steady state; WOCBP = woman of childbearing potential.</w:t>
      </w:r>
    </w:p>
    <w:p w14:paraId="578F0047" w14:textId="77777777" w:rsidR="008F65FC" w:rsidRPr="00A06EB3" w:rsidRDefault="00000000" w:rsidP="005D3FB6">
      <w:pPr>
        <w:pStyle w:val="V-table-footnotes"/>
        <w:numPr>
          <w:ilvl w:val="0"/>
          <w:numId w:val="36"/>
        </w:numPr>
        <w:ind w:left="360"/>
      </w:pPr>
      <w:bookmarkStart w:id="18" w:name="_Ref233800738"/>
      <w:r>
        <w:t>Cycles are 28 days. The first patient at each new dose level is dosed before the remainder of the cohort (sentinel dosing).</w:t>
      </w:r>
      <w:bookmarkEnd w:id="18"/>
    </w:p>
    <w:p w14:paraId="240A7744" w14:textId="77777777" w:rsidR="008F65FC" w:rsidRPr="00A06EB3" w:rsidRDefault="00000000" w:rsidP="005D3FB6">
      <w:pPr>
        <w:pStyle w:val="V-table-footnotes"/>
        <w:numPr>
          <w:ilvl w:val="0"/>
          <w:numId w:val="36"/>
        </w:numPr>
        <w:ind w:left="360"/>
      </w:pPr>
      <w:bookmarkStart w:id="19" w:name="_Ref233800740"/>
      <w:r>
        <w:t>From Cycle 2 onward, assessments are performed on Day 1 of each cycle before dosing unless otherwise specified.</w:t>
      </w:r>
      <w:bookmarkEnd w:id="19"/>
    </w:p>
    <w:p w14:paraId="408E2C84" w14:textId="77777777" w:rsidR="008F65FC" w:rsidRPr="00A06EB3" w:rsidRDefault="00000000" w:rsidP="005D3FB6">
      <w:pPr>
        <w:pStyle w:val="V-table-footnotes"/>
        <w:numPr>
          <w:ilvl w:val="0"/>
          <w:numId w:val="36"/>
        </w:numPr>
        <w:ind w:left="360"/>
      </w:pPr>
      <w:bookmarkStart w:id="20" w:name="_Ref233800741"/>
      <w:r>
        <w:t>End-of-treatment (EOT) visit occurs within 7 days of the decision to discontinue study treatment.</w:t>
      </w:r>
      <w:bookmarkEnd w:id="20"/>
    </w:p>
    <w:p w14:paraId="294EA25D" w14:textId="77777777" w:rsidR="008F65FC" w:rsidRPr="00A06EB3" w:rsidRDefault="00000000" w:rsidP="005D3FB6">
      <w:pPr>
        <w:pStyle w:val="V-table-footnotes"/>
        <w:numPr>
          <w:ilvl w:val="0"/>
          <w:numId w:val="36"/>
        </w:numPr>
        <w:ind w:left="360"/>
      </w:pPr>
      <w:bookmarkStart w:id="21" w:name="_Ref233800744"/>
      <w:r>
        <w:t>Complete examination at screening and EOT; symptom-directed examination at other visits.</w:t>
      </w:r>
      <w:bookmarkEnd w:id="21"/>
    </w:p>
    <w:p w14:paraId="48B79E87" w14:textId="77777777" w:rsidR="008F65FC" w:rsidRPr="00A06EB3" w:rsidRDefault="00000000" w:rsidP="005D3FB6">
      <w:pPr>
        <w:pStyle w:val="V-table-footnotes"/>
        <w:numPr>
          <w:ilvl w:val="0"/>
          <w:numId w:val="36"/>
        </w:numPr>
        <w:ind w:left="360"/>
      </w:pPr>
      <w:bookmarkStart w:id="22" w:name="_Ref233800748"/>
      <w:r>
        <w:t>Triplicate 12-lead ECGs during the DLT window to characterize any effect on cardiac repolarization; single ECGs are acceptable where the program's QT plan does not require triplicate recordings.</w:t>
      </w:r>
      <w:bookmarkEnd w:id="22"/>
    </w:p>
    <w:p w14:paraId="47498B97" w14:textId="77777777" w:rsidR="008F65FC" w:rsidRDefault="00000000" w:rsidP="005552F9">
      <w:pPr>
        <w:pStyle w:val="V-tablefootnote"/>
        <w:keepNext w:val="0"/>
        <w:keepLines w:val="0"/>
        <w:widowControl w:val="0"/>
        <w:numPr>
          <w:ilvl w:val="0"/>
          <w:numId w:val="36"/>
        </w:numPr>
        <w:spacing w:after="60"/>
        <w:ind w:left="360"/>
      </w:pPr>
      <w:bookmarkStart w:id="23" w:name="_Ref233800750"/>
      <w:r>
        <w:t>Within 24 hours before the first dose and on Day 1 of each cycle for women of childbearing potential.</w:t>
      </w:r>
      <w:bookmarkEnd w:id="23"/>
    </w:p>
    <w:p w14:paraId="6B7D04EE" w14:textId="77777777" w:rsidR="008F65FC" w:rsidRDefault="00000000" w:rsidP="005552F9">
      <w:pPr>
        <w:pStyle w:val="V-tablefootnote"/>
        <w:keepNext w:val="0"/>
        <w:keepLines w:val="0"/>
        <w:widowControl w:val="0"/>
        <w:numPr>
          <w:ilvl w:val="0"/>
          <w:numId w:val="36"/>
        </w:numPr>
        <w:spacing w:after="60"/>
        <w:ind w:left="360"/>
      </w:pPr>
      <w:bookmarkStart w:id="24" w:name="_Ref233800752"/>
      <w:r>
        <w:t>By computed tomography or magnetic resonance imaging; the same modality is used throughout for a given patient.</w:t>
      </w:r>
      <w:bookmarkEnd w:id="24"/>
    </w:p>
    <w:p w14:paraId="36331FF0" w14:textId="77777777" w:rsidR="008F65FC" w:rsidRDefault="00000000" w:rsidP="005552F9">
      <w:pPr>
        <w:pStyle w:val="V-tablefootnote"/>
        <w:keepNext w:val="0"/>
        <w:keepLines w:val="0"/>
        <w:widowControl w:val="0"/>
        <w:numPr>
          <w:ilvl w:val="0"/>
          <w:numId w:val="36"/>
        </w:numPr>
        <w:spacing w:after="60"/>
        <w:ind w:left="360"/>
      </w:pPr>
      <w:bookmarkStart w:id="25" w:name="_Ref233800754"/>
      <w:r>
        <w:t>Tumor imaging approximately every 6 weeks in the first year, then approximately every 12 weeks.</w:t>
      </w:r>
      <w:bookmarkEnd w:id="25"/>
    </w:p>
    <w:p w14:paraId="625D0F3B" w14:textId="29494850" w:rsidR="008F65FC" w:rsidRDefault="00000000" w:rsidP="005552F9">
      <w:pPr>
        <w:pStyle w:val="V-tablefootnote"/>
        <w:keepNext w:val="0"/>
        <w:keepLines w:val="0"/>
        <w:widowControl w:val="0"/>
        <w:numPr>
          <w:ilvl w:val="0"/>
          <w:numId w:val="36"/>
        </w:numPr>
        <w:spacing w:after="60"/>
        <w:ind w:left="360"/>
      </w:pPr>
      <w:bookmarkStart w:id="26" w:name="_Ref233800756"/>
      <w:r>
        <w:t>Day 1 predose (within 30 minutes before dosing) and at 0.5, 1, 2, 4, 6, 8, 24, and 48 hours after dosing (± 15 minutes through 8 hours; ± 1 hour thereafter).</w:t>
      </w:r>
      <w:bookmarkEnd w:id="26"/>
    </w:p>
    <w:p w14:paraId="311A84AE" w14:textId="77777777" w:rsidR="005552F9" w:rsidRDefault="005552F9" w:rsidP="005552F9">
      <w:pPr>
        <w:pStyle w:val="V-tablefootnote"/>
        <w:spacing w:after="60"/>
      </w:pPr>
      <w:bookmarkStart w:id="27" w:name="_Toc233620072"/>
      <w:bookmarkEnd w:id="27"/>
    </w:p>
    <w:p w14:paraId="6C8E69C8" w14:textId="77777777" w:rsidR="005552F9" w:rsidRDefault="005552F9" w:rsidP="005552F9">
      <w:pPr>
        <w:pStyle w:val="V-tablefootnote"/>
        <w:spacing w:after="60"/>
        <w:sectPr w:rsidR="005552F9" w:rsidSect="00B86B2B">
          <w:pgSz w:w="15840" w:h="12240" w:orient="landscape"/>
          <w:pgMar w:top="1440" w:right="1440" w:bottom="1440" w:left="1440" w:header="720" w:footer="720" w:gutter="0"/>
          <w:cols w:space="720"/>
          <w:formProt w:val="0"/>
          <w:docGrid w:linePitch="360"/>
        </w:sectPr>
      </w:pPr>
    </w:p>
    <w:p w14:paraId="2E7D207C" w14:textId="77777777" w:rsidR="008F65FC" w:rsidRDefault="00000000">
      <w:pPr>
        <w:pStyle w:val="V-heading1"/>
      </w:pPr>
      <w:bookmarkStart w:id="28" w:name="_Toc233801664"/>
      <w:r>
        <w:lastRenderedPageBreak/>
        <w:t>Introduction</w:t>
      </w:r>
      <w:bookmarkEnd w:id="28"/>
    </w:p>
    <w:p w14:paraId="1153EE12" w14:textId="77777777" w:rsidR="008F65FC" w:rsidRPr="005552F9" w:rsidRDefault="00000000" w:rsidP="005552F9">
      <w:pPr>
        <w:pStyle w:val="V-heading2"/>
      </w:pPr>
      <w:bookmarkStart w:id="29" w:name="_Toc233801665"/>
      <w:r w:rsidRPr="005552F9">
        <w:t>Disease Background and Unmet Need</w:t>
      </w:r>
      <w:bookmarkEnd w:id="29"/>
    </w:p>
    <w:p w14:paraId="5BE0E4C8" w14:textId="77777777" w:rsidR="008F65FC" w:rsidRDefault="00000000">
      <w:pPr>
        <w:pStyle w:val="V-Guidance"/>
      </w:pPr>
      <w:r>
        <w:t>Provide an overview of the disease and the clinical unmet need: incidence or prevalence, key diagnostic features, disease burden and prognosis, current management, and the gap that remains despite available therapy. Lead into the rationale for DRUG‑123 and the proposed indication.</w:t>
      </w:r>
    </w:p>
    <w:p w14:paraId="056FF824" w14:textId="79A079DB" w:rsidR="008F65FC" w:rsidRDefault="00000000">
      <w:pPr>
        <w:pStyle w:val="V-Example"/>
      </w:pPr>
      <w:r>
        <w:t>Disease indication is a major disease affecting approximately xx million people in the United States and is a leading cause of xx-related mortality, with an estimated xx </w:t>
      </w:r>
      <w:r w:rsidR="00B86B2B">
        <w:t>million</w:t>
      </w:r>
      <w:r>
        <w:t xml:space="preserve"> dollars in excess health care cost annually. It results in death in approximately xx patients within six months of initial diagnosis each year and accounts for almost half of all xx. Patients with persistent, recurrent, or metastatic disease face a poor prognosis, with survival dependent on the stage at diagnosis. Current standard treatment includes [X and Y] [brief description of the standard medications]. Despite currently available therapies, there remains a clinical unmet need for [XX] in [the XX patient population].</w:t>
      </w:r>
    </w:p>
    <w:p w14:paraId="338F28C3" w14:textId="77777777" w:rsidR="008F65FC" w:rsidRDefault="00000000" w:rsidP="005552F9">
      <w:pPr>
        <w:pStyle w:val="V-heading2"/>
      </w:pPr>
      <w:bookmarkStart w:id="30" w:name="_Toc233801666"/>
      <w:r>
        <w:t>DRUG‑123 and Rationale for Use in Proposed Indication</w:t>
      </w:r>
      <w:bookmarkEnd w:id="30"/>
    </w:p>
    <w:p w14:paraId="161B96B6" w14:textId="77777777" w:rsidR="008F65FC" w:rsidRDefault="00000000" w:rsidP="005552F9">
      <w:pPr>
        <w:pStyle w:val="V-heading3"/>
      </w:pPr>
      <w:r>
        <w:t>DRUG‑123</w:t>
      </w:r>
    </w:p>
    <w:p w14:paraId="3B717DBD" w14:textId="77777777" w:rsidR="008F65FC" w:rsidRDefault="00000000">
      <w:pPr>
        <w:pStyle w:val="V-Guidance"/>
      </w:pPr>
      <w:r>
        <w:t>Describe DRUG‑123: drug class, mechanism of action, formulation, and a high-level summary of nonclinical and clinical findings to date.</w:t>
      </w:r>
    </w:p>
    <w:p w14:paraId="4C2C9640" w14:textId="77777777" w:rsidR="008F65FC" w:rsidRDefault="00000000">
      <w:pPr>
        <w:pStyle w:val="V-Example"/>
      </w:pPr>
      <w:r>
        <w:t>DRUG‑123 is a humanized IgG4 monoclonal antibody that blocks the programmed cell death 1 (PD-1) receptor and its interaction with the ligands PD-L1 and PD-L2. The PD-1/PD-L1 axis is a principal pathway by which tumors suppress immune control; blockade of this axis restores effector T-cell function. This mechanism is complementary to that of platinum-based chemotherapy, providing the rationale for their combination.</w:t>
      </w:r>
    </w:p>
    <w:p w14:paraId="658D0232" w14:textId="2A5417B7" w:rsidR="00521AB3" w:rsidRDefault="00521AB3">
      <w:pPr>
        <w:pStyle w:val="Caption"/>
      </w:pPr>
      <w:bookmarkStart w:id="31" w:name="_Toc233620080"/>
      <w:bookmarkStart w:id="32" w:name="_Toc233801731"/>
      <w:r>
        <w:t>Figure </w:t>
      </w:r>
      <w:r>
        <w:fldChar w:fldCharType="begin"/>
      </w:r>
      <w:r>
        <w:instrText xml:space="preserve"> SEQ Figure \* ARABIC </w:instrText>
      </w:r>
      <w:r>
        <w:fldChar w:fldCharType="separate"/>
      </w:r>
      <w:r w:rsidR="00272496">
        <w:rPr>
          <w:noProof/>
        </w:rPr>
        <w:t>1</w:t>
      </w:r>
      <w:r>
        <w:fldChar w:fldCharType="end"/>
      </w:r>
      <w:r>
        <w:t>:</w:t>
      </w:r>
      <w:r>
        <w:tab/>
        <w:t>DRUG‑123 Mechanism of Action</w:t>
      </w:r>
      <w:bookmarkEnd w:id="31"/>
      <w:bookmarkEnd w:id="32"/>
    </w:p>
    <w:p w14:paraId="6D9A160C" w14:textId="77777777" w:rsidR="008F65FC" w:rsidRDefault="008F65FC">
      <w:pPr>
        <w:pStyle w:val="V-Guidance"/>
      </w:pPr>
    </w:p>
    <w:p w14:paraId="59B0C2C1" w14:textId="71A24DB5" w:rsidR="00521AB3" w:rsidRDefault="005552F9">
      <w:pPr>
        <w:pStyle w:val="V-Example"/>
      </w:pPr>
      <w:r>
        <w:t>[add figure here]</w:t>
      </w:r>
    </w:p>
    <w:p w14:paraId="43AE9325" w14:textId="77777777" w:rsidR="00F45580" w:rsidRDefault="00F45580">
      <w:pPr>
        <w:pStyle w:val="V-Example"/>
      </w:pPr>
    </w:p>
    <w:p w14:paraId="68720253" w14:textId="5D05D1C8" w:rsidR="002201FC" w:rsidRDefault="002201FC" w:rsidP="002201FC">
      <w:pPr>
        <w:pStyle w:val="V-heading3"/>
      </w:pPr>
      <w:r>
        <w:t>Rationale for Study</w:t>
      </w:r>
    </w:p>
    <w:p w14:paraId="69FCCF2A" w14:textId="7D27BCAA" w:rsidR="002201FC" w:rsidRDefault="002201FC" w:rsidP="00F45580">
      <w:pPr>
        <w:pStyle w:val="V-Guidance"/>
      </w:pPr>
      <w:r>
        <w:t>Summarize the basis for the study.</w:t>
      </w:r>
    </w:p>
    <w:p w14:paraId="635EB856" w14:textId="74CF50E9" w:rsidR="008F65FC" w:rsidRDefault="00000000" w:rsidP="00F45580">
      <w:pPr>
        <w:pStyle w:val="V-heading3"/>
      </w:pPr>
      <w:r>
        <w:lastRenderedPageBreak/>
        <w:t>Rationale for Study Treatment Dosing</w:t>
      </w:r>
      <w:r w:rsidR="005552F9">
        <w:t xml:space="preserve"> and Regimen</w:t>
      </w:r>
    </w:p>
    <w:p w14:paraId="43D2B035" w14:textId="77777777" w:rsidR="008F65FC" w:rsidRDefault="00000000" w:rsidP="00F45580">
      <w:pPr>
        <w:pStyle w:val="V-Guidance"/>
        <w:keepNext/>
        <w:keepLines/>
        <w:spacing w:line="240" w:lineRule="auto"/>
      </w:pPr>
      <w:r>
        <w:t>Summarize the basis for the starting dose and schedule, with exposure targets and safety margins; cross-reference the dose-rationale section.</w:t>
      </w:r>
    </w:p>
    <w:p w14:paraId="3DCC036B" w14:textId="77777777" w:rsidR="008F65FC" w:rsidRDefault="00000000" w:rsidP="00F45580">
      <w:pPr>
        <w:pStyle w:val="V-Example"/>
        <w:keepNext/>
        <w:keepLines/>
        <w:spacing w:line="240" w:lineRule="auto"/>
      </w:pPr>
      <w:r>
        <w:t>The dose and schedule of DRUG‑123 evaluated in this study are based on the recommended Phase 2 dose established in earlier studies, the observed exposure-response relationships, and the safety and tolerability data summarized in the Investigator's Brochure. DRUG‑123 is given every 3 weeks to align with the chemotherapy schedule.</w:t>
      </w:r>
    </w:p>
    <w:p w14:paraId="56AC0194" w14:textId="77777777" w:rsidR="008F65FC" w:rsidRDefault="00000000" w:rsidP="005552F9">
      <w:pPr>
        <w:pStyle w:val="V-heading2"/>
      </w:pPr>
      <w:bookmarkStart w:id="33" w:name="_Toc233801667"/>
      <w:r>
        <w:t>Nonclinical Summary</w:t>
      </w:r>
      <w:bookmarkEnd w:id="33"/>
    </w:p>
    <w:p w14:paraId="1FC55F36" w14:textId="4072DB4B" w:rsidR="008F65FC" w:rsidRDefault="00000000">
      <w:pPr>
        <w:pStyle w:val="V-Guidance"/>
      </w:pPr>
      <w:r>
        <w:t>Summarize nonclinical pharmacology, safety pharmacology, toxicology, and nonclinical pharmacokinetics, including the dosing rationale and exposure limits; for full detail, refer to the most recent Investigator's Brochure.</w:t>
      </w:r>
      <w:r w:rsidR="00244AFC">
        <w:t xml:space="preserve"> Add third level headings here as needed.</w:t>
      </w:r>
    </w:p>
    <w:p w14:paraId="71E2694A" w14:textId="77777777" w:rsidR="008F65FC" w:rsidRDefault="00000000">
      <w:pPr>
        <w:pStyle w:val="V-Example"/>
      </w:pPr>
      <w:r>
        <w:t>A summary of the nonclinical pharmacology, safety pharmacology, toxicology, and nonclinical pharmacokinetics of DRUG‑123 is provided below. For additional information, refer to the most recent DRUG‑123 Investigator's Brochure.</w:t>
      </w:r>
    </w:p>
    <w:p w14:paraId="62749E78" w14:textId="77777777" w:rsidR="008F65FC" w:rsidRDefault="00000000" w:rsidP="005552F9">
      <w:pPr>
        <w:pStyle w:val="V-heading2"/>
      </w:pPr>
      <w:bookmarkStart w:id="34" w:name="_Toc233801668"/>
      <w:r>
        <w:t>Clinical Experience with DRUG‑123</w:t>
      </w:r>
      <w:bookmarkEnd w:id="34"/>
    </w:p>
    <w:p w14:paraId="2EF04925" w14:textId="10664274" w:rsidR="008F65FC" w:rsidRDefault="00000000">
      <w:pPr>
        <w:pStyle w:val="V-Guidance"/>
      </w:pPr>
      <w:r>
        <w:t>Summarize the clinical experience to date (prior and ongoing studies), including safety, pharmacokinetics, and any preliminary activity. Cross-reference the Investigator's Brochure.</w:t>
      </w:r>
      <w:r w:rsidR="00244AFC">
        <w:t xml:space="preserve"> Add third level headings here as needed.</w:t>
      </w:r>
    </w:p>
    <w:p w14:paraId="64B871D8" w14:textId="77777777" w:rsidR="008F65FC" w:rsidRDefault="00000000">
      <w:pPr>
        <w:pStyle w:val="V-Example"/>
      </w:pPr>
      <w:r>
        <w:t>As of the date of this protocol, DRUG‑123 has been administered to more than 2,000 patients across the completed first-in-human dose-escalation and expansion study and subsequent single-agent and combination studies, including the experience that established the recommended Phase 2 dose of 200 mg every 3 weeks. The pharmacokinetics were dose-proportional over the studied range with a terminal half-life of approximately 3 weeks, consistent with the every-3-week schedule, and the most frequently reported adverse events were fatigue, pruritus, rash, diarrhea, and immune-related adverse events. No new safety signals beyond those described in the Investigator's Brochure have been identified.</w:t>
      </w:r>
    </w:p>
    <w:p w14:paraId="4E32A87D" w14:textId="77777777" w:rsidR="008F65FC" w:rsidRDefault="00000000" w:rsidP="005552F9">
      <w:pPr>
        <w:pStyle w:val="V-heading2"/>
      </w:pPr>
      <w:bookmarkStart w:id="35" w:name="_Toc233801669"/>
      <w:r>
        <w:t>Assessment of Risks and Benefits</w:t>
      </w:r>
      <w:bookmarkEnd w:id="35"/>
    </w:p>
    <w:p w14:paraId="08769875" w14:textId="0B4F27B7" w:rsidR="008F65FC" w:rsidRDefault="00000000">
      <w:pPr>
        <w:pStyle w:val="V-Guidance"/>
      </w:pPr>
      <w:r>
        <w:t>ICH M11 §2.2. Summarize the benefit-risk assessment; detailed evidence resides in the Investigator's Brochure.</w:t>
      </w:r>
      <w:r w:rsidR="00833BB7">
        <w:t xml:space="preserve"> Include Risk summary and mitigation strategy, benefit, overall benefit-risk assessment)</w:t>
      </w:r>
      <w:r w:rsidR="00244AFC">
        <w:t>. Add third level headings here as needed (e.g. risk summary and mitigation strategy, benefit, and overall benefit-risk assessment as separate third level headings).</w:t>
      </w:r>
    </w:p>
    <w:p w14:paraId="5695CF51" w14:textId="77777777" w:rsidR="008F65FC" w:rsidRDefault="00000000" w:rsidP="00F45580">
      <w:pPr>
        <w:pStyle w:val="V-Example"/>
        <w:widowControl w:val="0"/>
      </w:pPr>
      <w:r>
        <w:t>The principal risks of DRUG‑123 are the adverse events characterized in earlier studies and summarized in the Investigator's Brochure, including immune-related adverse events; these are managed by protocol-defined monitoring, dose modification, and treatment guidelines. The safety profile of platinum-based chemotherapy is well established.</w:t>
      </w:r>
    </w:p>
    <w:p w14:paraId="1CD0A481" w14:textId="77777777" w:rsidR="00833BB7" w:rsidRDefault="00833BB7" w:rsidP="00F45580">
      <w:pPr>
        <w:pStyle w:val="V-Example"/>
        <w:widowControl w:val="0"/>
      </w:pPr>
      <w:r>
        <w:t xml:space="preserve">Analysis of a prior monotherapy cohort (objective response rate approximately [XX]%) showed </w:t>
      </w:r>
      <w:r>
        <w:lastRenderedPageBreak/>
        <w:t>clinically meaningful antitumor activity with a generally well-tolerated safety profile, and responses that deepened with longer follow-up. Adding DRUG‑123 to platinum-based chemotherapy in the first-line setting may improve disease control and survival relative to chemotherapy alone.</w:t>
      </w:r>
    </w:p>
    <w:p w14:paraId="4C1497FB" w14:textId="77777777" w:rsidR="00833BB7" w:rsidRDefault="00833BB7" w:rsidP="00F45580">
      <w:pPr>
        <w:pStyle w:val="V-Example"/>
        <w:widowControl w:val="0"/>
      </w:pPr>
      <w:r>
        <w:t>Because all patients receive standard platinum-based chemotherapy and the design adds DRUG‑123 or matching placebo, no patient is denied standard care; the favorable benefit-risk of each component and their complementary mechanisms support an overall positive benefit-risk for the combination in this population.</w:t>
      </w:r>
    </w:p>
    <w:p w14:paraId="376A668F" w14:textId="77777777" w:rsidR="008F65FC" w:rsidRDefault="00000000" w:rsidP="00244AFC">
      <w:pPr>
        <w:pStyle w:val="V-heading1"/>
      </w:pPr>
      <w:bookmarkStart w:id="36" w:name="_Toc233801670"/>
      <w:r>
        <w:lastRenderedPageBreak/>
        <w:t>Study Objectives, Endpoints, and Associated Estimands</w:t>
      </w:r>
      <w:bookmarkEnd w:id="36"/>
    </w:p>
    <w:p w14:paraId="07ED4B14" w14:textId="77777777" w:rsidR="008F65FC" w:rsidRDefault="00000000">
      <w:pPr>
        <w:pStyle w:val="V-Guidance"/>
      </w:pPr>
      <w:r>
        <w:t>ICH M11 §3. State each objective with its endpoint(s). For each confirmatory objective, specify the associated estimand under ICH E9(R1): the treatment condition, the population, the variable (endpoint), the strategy for each anticipated intercurrent event, and the population-level summary measure. The content here must match the synopsis (Section 1.1) and the statistical analysis (Section 10).</w:t>
      </w:r>
    </w:p>
    <w:p w14:paraId="77FA327B" w14:textId="3F52CF91" w:rsidR="004D0BC1" w:rsidRPr="004D0BC1" w:rsidRDefault="004D0BC1" w:rsidP="004D0BC1">
      <w:pPr>
        <w:pStyle w:val="Caption"/>
      </w:pPr>
      <w:bookmarkStart w:id="37" w:name="_Toc233620074"/>
      <w:bookmarkStart w:id="38" w:name="_Toc233801733"/>
      <w:bookmarkEnd w:id="37"/>
      <w:r>
        <w:t>Table </w:t>
      </w:r>
      <w:r>
        <w:fldChar w:fldCharType="begin"/>
      </w:r>
      <w:r>
        <w:instrText xml:space="preserve"> SEQ Table \* ARABIC </w:instrText>
      </w:r>
      <w:r>
        <w:fldChar w:fldCharType="separate"/>
      </w:r>
      <w:r w:rsidR="00272496">
        <w:rPr>
          <w:noProof/>
        </w:rPr>
        <w:t>2</w:t>
      </w:r>
      <w:r>
        <w:fldChar w:fldCharType="end"/>
      </w:r>
      <w:r>
        <w:t>:</w:t>
      </w:r>
      <w:r>
        <w:tab/>
        <w:t>Primary and Secondary Objectives and Endpoints</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833BB7" w:rsidRPr="002939B0" w14:paraId="7DCF79A6" w14:textId="77777777" w:rsidTr="00B57F24">
        <w:trPr>
          <w:tblHeader/>
        </w:trPr>
        <w:tc>
          <w:tcPr>
            <w:tcW w:w="2508" w:type="pct"/>
          </w:tcPr>
          <w:p w14:paraId="57CFCECC" w14:textId="77777777" w:rsidR="00833BB7" w:rsidRPr="002939B0" w:rsidRDefault="00833BB7" w:rsidP="009107D4">
            <w:pPr>
              <w:pStyle w:val="V-tableheader"/>
              <w:keepNext/>
              <w:rPr>
                <w:lang w:val="en-GB"/>
              </w:rPr>
            </w:pPr>
            <w:r>
              <w:rPr>
                <w:lang w:val="en-GB"/>
              </w:rPr>
              <w:t>Objectives</w:t>
            </w:r>
          </w:p>
        </w:tc>
        <w:tc>
          <w:tcPr>
            <w:tcW w:w="2492" w:type="pct"/>
          </w:tcPr>
          <w:p w14:paraId="5A3D5414" w14:textId="77777777" w:rsidR="00833BB7" w:rsidRPr="002939B0" w:rsidRDefault="00833BB7" w:rsidP="009107D4">
            <w:pPr>
              <w:pStyle w:val="V-tableheader"/>
              <w:keepNext/>
            </w:pPr>
            <w:r>
              <w:t>Endpoints</w:t>
            </w:r>
          </w:p>
        </w:tc>
      </w:tr>
      <w:tr w:rsidR="00833BB7" w:rsidRPr="002939B0" w14:paraId="52522E7D" w14:textId="77777777" w:rsidTr="00B57F24">
        <w:tc>
          <w:tcPr>
            <w:tcW w:w="5000" w:type="pct"/>
            <w:gridSpan w:val="2"/>
          </w:tcPr>
          <w:p w14:paraId="1B7AD536" w14:textId="77777777" w:rsidR="00833BB7" w:rsidRPr="002939B0" w:rsidRDefault="00833BB7" w:rsidP="009107D4">
            <w:pPr>
              <w:pStyle w:val="V-tablebody"/>
              <w:keepNext/>
              <w:rPr>
                <w:lang w:val="en-GB"/>
              </w:rPr>
            </w:pPr>
            <w:r>
              <w:rPr>
                <w:b/>
                <w:bCs/>
                <w:lang w:val="en-GB"/>
              </w:rPr>
              <w:t>Primary</w:t>
            </w:r>
          </w:p>
        </w:tc>
      </w:tr>
      <w:tr w:rsidR="00833BB7" w:rsidRPr="002939B0" w14:paraId="058CDE90" w14:textId="77777777" w:rsidTr="00B57F24">
        <w:tc>
          <w:tcPr>
            <w:tcW w:w="2508" w:type="pct"/>
          </w:tcPr>
          <w:p w14:paraId="35CE6241" w14:textId="77777777" w:rsidR="00833BB7" w:rsidRPr="002939B0" w:rsidRDefault="00833BB7" w:rsidP="004D0BC1">
            <w:pPr>
              <w:pStyle w:val="V-tablebullet2"/>
            </w:pPr>
            <w:r>
              <w:t>To determine whether DRUG‑123 improves PFS when compared with placebo in combination with platinum-based chemotherapy.</w:t>
            </w:r>
          </w:p>
        </w:tc>
        <w:tc>
          <w:tcPr>
            <w:tcW w:w="2492" w:type="pct"/>
          </w:tcPr>
          <w:p w14:paraId="499C2038" w14:textId="77777777" w:rsidR="00833BB7" w:rsidRPr="002939B0" w:rsidRDefault="00833BB7" w:rsidP="004D0BC1">
            <w:pPr>
              <w:pStyle w:val="V-tablebullet1"/>
            </w:pPr>
            <w:r>
              <w:t>PFS is defined as the time from randomization until disease progression or death from any cause, whichever occurs first. Progression is per RECIST v1.1 as assessed by the investigator (BICR as a sensitivity analysis).</w:t>
            </w:r>
          </w:p>
        </w:tc>
      </w:tr>
      <w:tr w:rsidR="00833BB7" w:rsidRPr="002939B0" w14:paraId="08E8C43C" w14:textId="77777777" w:rsidTr="00B57F24">
        <w:tc>
          <w:tcPr>
            <w:tcW w:w="5000" w:type="pct"/>
            <w:gridSpan w:val="2"/>
          </w:tcPr>
          <w:p w14:paraId="0842E21A" w14:textId="77777777" w:rsidR="00833BB7" w:rsidRPr="002939B0" w:rsidRDefault="00833BB7" w:rsidP="009107D4">
            <w:pPr>
              <w:pStyle w:val="V-tablebody"/>
              <w:keepNext/>
              <w:keepLines/>
            </w:pPr>
            <w:r>
              <w:rPr>
                <w:b/>
                <w:bCs/>
              </w:rPr>
              <w:t>Secondary</w:t>
            </w:r>
          </w:p>
        </w:tc>
      </w:tr>
      <w:tr w:rsidR="00833BB7" w:rsidRPr="002939B0" w14:paraId="50E1790C" w14:textId="77777777" w:rsidTr="00B57F24">
        <w:tc>
          <w:tcPr>
            <w:tcW w:w="2508" w:type="pct"/>
          </w:tcPr>
          <w:p w14:paraId="64BCDB88" w14:textId="77777777" w:rsidR="00833BB7" w:rsidRPr="002939B0" w:rsidRDefault="00833BB7" w:rsidP="004D0BC1">
            <w:pPr>
              <w:pStyle w:val="V-tablebullet2"/>
            </w:pPr>
            <w:r>
              <w:t>To determine whether DRUG‑123 improves OS when compared with placebo in combination with platinum-based chemotherapy.</w:t>
            </w:r>
          </w:p>
        </w:tc>
        <w:tc>
          <w:tcPr>
            <w:tcW w:w="2492" w:type="pct"/>
          </w:tcPr>
          <w:p w14:paraId="3C3ED0EA" w14:textId="77777777" w:rsidR="00833BB7" w:rsidRPr="002939B0" w:rsidRDefault="00833BB7" w:rsidP="004D0BC1">
            <w:pPr>
              <w:pStyle w:val="V-tablebullet1"/>
            </w:pPr>
            <w:r>
              <w:t>OS</w:t>
            </w:r>
            <w:r>
              <w:rPr>
                <w:spacing w:val="-5"/>
              </w:rPr>
              <w:t xml:space="preserve"> </w:t>
            </w:r>
            <w:r>
              <w:t>is</w:t>
            </w:r>
            <w:r>
              <w:rPr>
                <w:spacing w:val="-4"/>
              </w:rPr>
              <w:t xml:space="preserve"> </w:t>
            </w:r>
            <w:r>
              <w:t>defined</w:t>
            </w:r>
            <w:r>
              <w:rPr>
                <w:spacing w:val="-5"/>
              </w:rPr>
              <w:t xml:space="preserve"> </w:t>
            </w:r>
            <w:r>
              <w:t>as</w:t>
            </w:r>
            <w:r>
              <w:rPr>
                <w:spacing w:val="-5"/>
              </w:rPr>
              <w:t xml:space="preserve"> </w:t>
            </w:r>
            <w:r>
              <w:t>the</w:t>
            </w:r>
            <w:r>
              <w:rPr>
                <w:spacing w:val="-5"/>
              </w:rPr>
              <w:t xml:space="preserve"> </w:t>
            </w:r>
            <w:r>
              <w:t>time</w:t>
            </w:r>
            <w:r>
              <w:rPr>
                <w:spacing w:val="-5"/>
              </w:rPr>
              <w:t xml:space="preserve"> </w:t>
            </w:r>
            <w:r>
              <w:t>from</w:t>
            </w:r>
            <w:r>
              <w:rPr>
                <w:spacing w:val="-2"/>
              </w:rPr>
              <w:t xml:space="preserve"> </w:t>
            </w:r>
            <w:r>
              <w:t>randomization</w:t>
            </w:r>
            <w:r>
              <w:rPr>
                <w:spacing w:val="-7"/>
              </w:rPr>
              <w:t xml:space="preserve"> </w:t>
            </w:r>
            <w:r>
              <w:t>until death from any cause.</w:t>
            </w:r>
          </w:p>
        </w:tc>
      </w:tr>
      <w:tr w:rsidR="00833BB7" w:rsidRPr="002939B0" w14:paraId="616597DF" w14:textId="77777777" w:rsidTr="00B57F24">
        <w:tc>
          <w:tcPr>
            <w:tcW w:w="2508" w:type="pct"/>
          </w:tcPr>
          <w:p w14:paraId="74EDAB9B" w14:textId="77777777" w:rsidR="00833BB7" w:rsidRPr="002939B0" w:rsidRDefault="00833BB7" w:rsidP="004D0BC1">
            <w:pPr>
              <w:pStyle w:val="V-tablebullet2"/>
            </w:pPr>
            <w:r>
              <w:t>To determine whether DRUG‑123 improves ORR when compared with placebo in combination with platinum-based chemotherapy.</w:t>
            </w:r>
          </w:p>
        </w:tc>
        <w:tc>
          <w:tcPr>
            <w:tcW w:w="2492" w:type="pct"/>
          </w:tcPr>
          <w:p w14:paraId="5CDD48E0" w14:textId="77777777" w:rsidR="00833BB7" w:rsidRPr="002939B0" w:rsidRDefault="00833BB7" w:rsidP="004D0BC1">
            <w:pPr>
              <w:pStyle w:val="V-tablebullet1"/>
            </w:pPr>
            <w:r>
              <w:t>Confirmed</w:t>
            </w:r>
            <w:r>
              <w:rPr>
                <w:spacing w:val="-5"/>
              </w:rPr>
              <w:t xml:space="preserve"> </w:t>
            </w:r>
            <w:r>
              <w:t>objective</w:t>
            </w:r>
            <w:r>
              <w:rPr>
                <w:spacing w:val="-5"/>
              </w:rPr>
              <w:t xml:space="preserve"> </w:t>
            </w:r>
            <w:r>
              <w:t>response</w:t>
            </w:r>
            <w:r>
              <w:rPr>
                <w:spacing w:val="-5"/>
              </w:rPr>
              <w:t xml:space="preserve"> rate (ORR) (</w:t>
            </w:r>
            <w:r>
              <w:t>PR</w:t>
            </w:r>
            <w:r>
              <w:rPr>
                <w:spacing w:val="-9"/>
              </w:rPr>
              <w:t xml:space="preserve"> </w:t>
            </w:r>
            <w:r>
              <w:t>or</w:t>
            </w:r>
            <w:r>
              <w:rPr>
                <w:spacing w:val="-5"/>
              </w:rPr>
              <w:t xml:space="preserve"> </w:t>
            </w:r>
            <w:r>
              <w:t>CR)</w:t>
            </w:r>
            <w:r>
              <w:rPr>
                <w:spacing w:val="-6"/>
              </w:rPr>
              <w:t xml:space="preserve"> </w:t>
            </w:r>
            <w:r>
              <w:t>per RECIST v1.1, assessed by BICR.</w:t>
            </w:r>
          </w:p>
          <w:p w14:paraId="3041A50C" w14:textId="77777777" w:rsidR="00833BB7" w:rsidRPr="002939B0" w:rsidRDefault="00833BB7" w:rsidP="004D0BC1">
            <w:pPr>
              <w:pStyle w:val="V-tablebullet1"/>
            </w:pPr>
            <w:r>
              <w:t>ORR as assessed by the Investigator</w:t>
            </w:r>
          </w:p>
        </w:tc>
      </w:tr>
      <w:tr w:rsidR="00833BB7" w:rsidRPr="002939B0" w14:paraId="07A1D6BC" w14:textId="77777777" w:rsidTr="00B57F24">
        <w:tc>
          <w:tcPr>
            <w:tcW w:w="2508" w:type="pct"/>
          </w:tcPr>
          <w:p w14:paraId="1180300A" w14:textId="77777777" w:rsidR="00833BB7" w:rsidRPr="002939B0" w:rsidRDefault="00833BB7" w:rsidP="004D0BC1">
            <w:pPr>
              <w:pStyle w:val="V-tablebullet2"/>
            </w:pPr>
            <w:r>
              <w:t>To</w:t>
            </w:r>
            <w:r>
              <w:rPr>
                <w:spacing w:val="-7"/>
              </w:rPr>
              <w:t xml:space="preserve"> </w:t>
            </w:r>
            <w:r>
              <w:t>evaluate</w:t>
            </w:r>
            <w:r>
              <w:rPr>
                <w:spacing w:val="-6"/>
              </w:rPr>
              <w:t xml:space="preserve"> </w:t>
            </w:r>
            <w:r>
              <w:t>the</w:t>
            </w:r>
            <w:r>
              <w:rPr>
                <w:spacing w:val="-6"/>
              </w:rPr>
              <w:t xml:space="preserve"> </w:t>
            </w:r>
            <w:r>
              <w:t>DOR</w:t>
            </w:r>
            <w:r>
              <w:rPr>
                <w:spacing w:val="-7"/>
              </w:rPr>
              <w:t xml:space="preserve"> </w:t>
            </w:r>
            <w:r>
              <w:t>of</w:t>
            </w:r>
            <w:r>
              <w:rPr>
                <w:spacing w:val="-8"/>
              </w:rPr>
              <w:t xml:space="preserve"> </w:t>
            </w:r>
            <w:r>
              <w:t>treatment</w:t>
            </w:r>
            <w:r>
              <w:rPr>
                <w:spacing w:val="-5"/>
              </w:rPr>
              <w:t xml:space="preserve"> </w:t>
            </w:r>
            <w:r>
              <w:t>with DRUG‑123 versus placebo in combination with platinum-based chemotherapy.</w:t>
            </w:r>
          </w:p>
        </w:tc>
        <w:tc>
          <w:tcPr>
            <w:tcW w:w="2492" w:type="pct"/>
          </w:tcPr>
          <w:p w14:paraId="7DBFA3EE" w14:textId="77777777" w:rsidR="00833BB7" w:rsidRPr="002939B0" w:rsidRDefault="00833BB7" w:rsidP="004D0BC1">
            <w:pPr>
              <w:pStyle w:val="V-tablebullet1"/>
            </w:pPr>
            <w:r>
              <w:t>DOR</w:t>
            </w:r>
            <w:r>
              <w:rPr>
                <w:spacing w:val="-5"/>
              </w:rPr>
              <w:t xml:space="preserve"> </w:t>
            </w:r>
            <w:r>
              <w:t>defined</w:t>
            </w:r>
            <w:r>
              <w:rPr>
                <w:spacing w:val="-4"/>
              </w:rPr>
              <w:t xml:space="preserve"> </w:t>
            </w:r>
            <w:r>
              <w:t>as</w:t>
            </w:r>
            <w:r>
              <w:rPr>
                <w:spacing w:val="-6"/>
              </w:rPr>
              <w:t xml:space="preserve"> </w:t>
            </w:r>
            <w:r>
              <w:t>time</w:t>
            </w:r>
            <w:r>
              <w:rPr>
                <w:spacing w:val="-4"/>
              </w:rPr>
              <w:t xml:space="preserve"> </w:t>
            </w:r>
            <w:r>
              <w:t>from</w:t>
            </w:r>
            <w:r>
              <w:rPr>
                <w:spacing w:val="-6"/>
              </w:rPr>
              <w:t xml:space="preserve"> </w:t>
            </w:r>
            <w:r>
              <w:t>first</w:t>
            </w:r>
            <w:r>
              <w:rPr>
                <w:spacing w:val="-5"/>
              </w:rPr>
              <w:t xml:space="preserve"> </w:t>
            </w:r>
            <w:r>
              <w:t>evidence</w:t>
            </w:r>
            <w:r>
              <w:rPr>
                <w:spacing w:val="-4"/>
              </w:rPr>
              <w:t xml:space="preserve"> </w:t>
            </w:r>
            <w:r>
              <w:t>of</w:t>
            </w:r>
            <w:r>
              <w:rPr>
                <w:spacing w:val="-6"/>
              </w:rPr>
              <w:t xml:space="preserve"> </w:t>
            </w:r>
            <w:r>
              <w:t>objective response (PR or CR) to disease progression or death from any cause, whichever occurs first. Response and progression are as assessed per RECIST v1.1 by BICR.</w:t>
            </w:r>
          </w:p>
          <w:p w14:paraId="3C00D96C" w14:textId="77777777" w:rsidR="00833BB7" w:rsidRPr="002939B0" w:rsidRDefault="00833BB7" w:rsidP="004D0BC1">
            <w:pPr>
              <w:pStyle w:val="V-tablebullet1"/>
            </w:pPr>
            <w:r>
              <w:t>DOR as assessed by the Investigator</w:t>
            </w:r>
          </w:p>
        </w:tc>
      </w:tr>
      <w:tr w:rsidR="00833BB7" w:rsidRPr="002939B0" w14:paraId="1C47B61A" w14:textId="77777777" w:rsidTr="00B57F24">
        <w:tc>
          <w:tcPr>
            <w:tcW w:w="2508" w:type="pct"/>
          </w:tcPr>
          <w:p w14:paraId="66B79D3F" w14:textId="77777777" w:rsidR="00833BB7" w:rsidRPr="002939B0" w:rsidRDefault="00833BB7" w:rsidP="004D0BC1">
            <w:pPr>
              <w:pStyle w:val="V-tablebullet2"/>
            </w:pPr>
            <w:r>
              <w:t>To evaluate the safety and tolerability of treatment</w:t>
            </w:r>
            <w:r>
              <w:rPr>
                <w:spacing w:val="-8"/>
              </w:rPr>
              <w:t xml:space="preserve"> </w:t>
            </w:r>
            <w:r>
              <w:t>with</w:t>
            </w:r>
            <w:r>
              <w:rPr>
                <w:spacing w:val="-9"/>
              </w:rPr>
              <w:t xml:space="preserve"> </w:t>
            </w:r>
            <w:r>
              <w:t>DRUG‑123</w:t>
            </w:r>
            <w:r>
              <w:rPr>
                <w:spacing w:val="-11"/>
              </w:rPr>
              <w:t xml:space="preserve"> </w:t>
            </w:r>
            <w:r>
              <w:t>versus placebo in combination with platinum-based chemotherapy.</w:t>
            </w:r>
          </w:p>
        </w:tc>
        <w:tc>
          <w:tcPr>
            <w:tcW w:w="2492" w:type="pct"/>
          </w:tcPr>
          <w:p w14:paraId="2D186782" w14:textId="77777777" w:rsidR="00833BB7" w:rsidRPr="002939B0" w:rsidRDefault="00833BB7" w:rsidP="004D0BC1">
            <w:pPr>
              <w:pStyle w:val="V-tablebullet1"/>
            </w:pPr>
            <w:r>
              <w:t>The</w:t>
            </w:r>
            <w:r>
              <w:rPr>
                <w:spacing w:val="-5"/>
              </w:rPr>
              <w:t xml:space="preserve"> </w:t>
            </w:r>
            <w:r>
              <w:t>incidence</w:t>
            </w:r>
            <w:r>
              <w:rPr>
                <w:spacing w:val="-6"/>
              </w:rPr>
              <w:t xml:space="preserve"> </w:t>
            </w:r>
            <w:r>
              <w:t>and</w:t>
            </w:r>
            <w:r>
              <w:rPr>
                <w:spacing w:val="-5"/>
              </w:rPr>
              <w:t xml:space="preserve"> </w:t>
            </w:r>
            <w:r>
              <w:t>severity</w:t>
            </w:r>
            <w:r>
              <w:rPr>
                <w:spacing w:val="-7"/>
              </w:rPr>
              <w:t xml:space="preserve"> </w:t>
            </w:r>
            <w:r>
              <w:t>of</w:t>
            </w:r>
            <w:r>
              <w:rPr>
                <w:spacing w:val="-5"/>
              </w:rPr>
              <w:t xml:space="preserve"> </w:t>
            </w:r>
            <w:r>
              <w:t>TEAEs,</w:t>
            </w:r>
            <w:r>
              <w:rPr>
                <w:spacing w:val="-5"/>
              </w:rPr>
              <w:t xml:space="preserve"> </w:t>
            </w:r>
            <w:r>
              <w:t>TRAEs,</w:t>
            </w:r>
            <w:r>
              <w:rPr>
                <w:spacing w:val="-5"/>
              </w:rPr>
              <w:t xml:space="preserve"> </w:t>
            </w:r>
            <w:r>
              <w:t>SAEs, and clinically significant changes in vital signs, and clinical laboratory test values.</w:t>
            </w:r>
          </w:p>
        </w:tc>
      </w:tr>
      <w:tr w:rsidR="00833BB7" w:rsidRPr="002939B0" w14:paraId="54FE98F7" w14:textId="77777777" w:rsidTr="00B57F24">
        <w:tc>
          <w:tcPr>
            <w:tcW w:w="2508" w:type="pct"/>
          </w:tcPr>
          <w:p w14:paraId="0621CF0D" w14:textId="77777777" w:rsidR="00833BB7" w:rsidRPr="002939B0" w:rsidRDefault="00833BB7" w:rsidP="004D0BC1">
            <w:pPr>
              <w:pStyle w:val="V-tablebullet2"/>
              <w:rPr>
                <w:color w:val="000000"/>
                <w:shd w:val="clear" w:color="auto" w:fill="FEEC99"/>
              </w:rPr>
            </w:pPr>
            <w:r>
              <w:t>To characterize the PK of DRUG‑123 when</w:t>
            </w:r>
            <w:r>
              <w:rPr>
                <w:spacing w:val="-9"/>
              </w:rPr>
              <w:t xml:space="preserve"> </w:t>
            </w:r>
            <w:r>
              <w:t>administered</w:t>
            </w:r>
            <w:r>
              <w:rPr>
                <w:spacing w:val="-11"/>
              </w:rPr>
              <w:t xml:space="preserve"> </w:t>
            </w:r>
            <w:r>
              <w:t>in</w:t>
            </w:r>
            <w:r>
              <w:rPr>
                <w:spacing w:val="-9"/>
              </w:rPr>
              <w:t xml:space="preserve"> </w:t>
            </w:r>
            <w:r>
              <w:t>combination</w:t>
            </w:r>
            <w:r>
              <w:rPr>
                <w:spacing w:val="-9"/>
              </w:rPr>
              <w:t xml:space="preserve"> </w:t>
            </w:r>
            <w:r>
              <w:t>with platinum-based chemotherapy</w:t>
            </w:r>
          </w:p>
        </w:tc>
        <w:tc>
          <w:tcPr>
            <w:tcW w:w="2492" w:type="pct"/>
          </w:tcPr>
          <w:p w14:paraId="5A10E3C3" w14:textId="77777777" w:rsidR="00833BB7" w:rsidRPr="002939B0" w:rsidRDefault="00833BB7" w:rsidP="004D0BC1">
            <w:pPr>
              <w:pStyle w:val="V-tablebullet1"/>
              <w:rPr>
                <w:color w:val="000000"/>
                <w:shd w:val="clear" w:color="auto" w:fill="FEEC99"/>
              </w:rPr>
            </w:pPr>
            <w:r>
              <w:t>Predose</w:t>
            </w:r>
            <w:r>
              <w:rPr>
                <w:spacing w:val="-3"/>
              </w:rPr>
              <w:t xml:space="preserve"> </w:t>
            </w:r>
            <w:r>
              <w:t>and</w:t>
            </w:r>
            <w:r>
              <w:rPr>
                <w:spacing w:val="-6"/>
              </w:rPr>
              <w:t xml:space="preserve"> </w:t>
            </w:r>
            <w:r>
              <w:t>postdose</w:t>
            </w:r>
            <w:r>
              <w:rPr>
                <w:spacing w:val="-3"/>
              </w:rPr>
              <w:t xml:space="preserve"> </w:t>
            </w:r>
            <w:r>
              <w:t>plasma</w:t>
            </w:r>
            <w:r>
              <w:rPr>
                <w:spacing w:val="-6"/>
              </w:rPr>
              <w:t xml:space="preserve"> </w:t>
            </w:r>
            <w:r>
              <w:t>concentrations</w:t>
            </w:r>
            <w:r>
              <w:rPr>
                <w:spacing w:val="-3"/>
              </w:rPr>
              <w:t xml:space="preserve"> </w:t>
            </w:r>
            <w:r>
              <w:t>of</w:t>
            </w:r>
            <w:r>
              <w:rPr>
                <w:spacing w:val="-4"/>
              </w:rPr>
              <w:t xml:space="preserve"> </w:t>
            </w:r>
            <w:r>
              <w:rPr>
                <w:spacing w:val="-2"/>
              </w:rPr>
              <w:t>DRUG‑123</w:t>
            </w:r>
          </w:p>
        </w:tc>
      </w:tr>
      <w:tr w:rsidR="00833BB7" w:rsidRPr="002939B0" w14:paraId="1DEFC55E" w14:textId="77777777" w:rsidTr="00B57F24">
        <w:tc>
          <w:tcPr>
            <w:tcW w:w="2508" w:type="pct"/>
          </w:tcPr>
          <w:p w14:paraId="463F0F80" w14:textId="77777777" w:rsidR="00833BB7" w:rsidRPr="002939B0" w:rsidRDefault="00833BB7" w:rsidP="004D0BC1">
            <w:pPr>
              <w:pStyle w:val="V-tablebullet2"/>
            </w:pPr>
            <w:r>
              <w:t>To</w:t>
            </w:r>
            <w:r>
              <w:rPr>
                <w:spacing w:val="-5"/>
              </w:rPr>
              <w:t xml:space="preserve"> </w:t>
            </w:r>
            <w:r>
              <w:t>evaluate</w:t>
            </w:r>
            <w:r>
              <w:rPr>
                <w:spacing w:val="-5"/>
              </w:rPr>
              <w:t xml:space="preserve"> </w:t>
            </w:r>
            <w:r>
              <w:t>the</w:t>
            </w:r>
            <w:r>
              <w:rPr>
                <w:spacing w:val="-6"/>
              </w:rPr>
              <w:t xml:space="preserve"> </w:t>
            </w:r>
            <w:r>
              <w:t>PFS</w:t>
            </w:r>
            <w:r>
              <w:rPr>
                <w:spacing w:val="-7"/>
              </w:rPr>
              <w:t xml:space="preserve"> </w:t>
            </w:r>
            <w:r>
              <w:t>as</w:t>
            </w:r>
            <w:r>
              <w:rPr>
                <w:spacing w:val="-7"/>
              </w:rPr>
              <w:t xml:space="preserve"> </w:t>
            </w:r>
            <w:r>
              <w:t>assessed</w:t>
            </w:r>
            <w:r>
              <w:rPr>
                <w:spacing w:val="-5"/>
              </w:rPr>
              <w:t xml:space="preserve"> </w:t>
            </w:r>
            <w:r>
              <w:t>by</w:t>
            </w:r>
            <w:r>
              <w:rPr>
                <w:spacing w:val="-5"/>
              </w:rPr>
              <w:t xml:space="preserve"> </w:t>
            </w:r>
            <w:r>
              <w:t>the</w:t>
            </w:r>
            <w:r>
              <w:rPr>
                <w:spacing w:val="-3"/>
              </w:rPr>
              <w:t xml:space="preserve"> </w:t>
            </w:r>
            <w:r>
              <w:t>Investigator of treatment with DRUG‑123 versus placebo in combination with platinum-based chemotherapy.</w:t>
            </w:r>
          </w:p>
        </w:tc>
        <w:tc>
          <w:tcPr>
            <w:tcW w:w="2492" w:type="pct"/>
          </w:tcPr>
          <w:p w14:paraId="7C427E2F" w14:textId="77777777" w:rsidR="00833BB7" w:rsidRPr="002939B0" w:rsidRDefault="00833BB7" w:rsidP="004D0BC1">
            <w:pPr>
              <w:pStyle w:val="V-tablebullet1"/>
            </w:pPr>
            <w:r>
              <w:t>PFS</w:t>
            </w:r>
            <w:r>
              <w:rPr>
                <w:spacing w:val="-5"/>
              </w:rPr>
              <w:t xml:space="preserve"> </w:t>
            </w:r>
            <w:r>
              <w:t>as</w:t>
            </w:r>
            <w:r>
              <w:rPr>
                <w:spacing w:val="-4"/>
              </w:rPr>
              <w:t xml:space="preserve"> </w:t>
            </w:r>
            <w:r>
              <w:t>assessed</w:t>
            </w:r>
            <w:r>
              <w:rPr>
                <w:spacing w:val="-2"/>
              </w:rPr>
              <w:t xml:space="preserve"> </w:t>
            </w:r>
            <w:r>
              <w:t>by</w:t>
            </w:r>
            <w:r>
              <w:rPr>
                <w:spacing w:val="-2"/>
              </w:rPr>
              <w:t xml:space="preserve"> </w:t>
            </w:r>
            <w:r>
              <w:t>the</w:t>
            </w:r>
            <w:r>
              <w:rPr>
                <w:spacing w:val="-2"/>
              </w:rPr>
              <w:t xml:space="preserve"> Investigator.</w:t>
            </w:r>
          </w:p>
        </w:tc>
      </w:tr>
    </w:tbl>
    <w:p w14:paraId="258F6352" w14:textId="4367921B" w:rsidR="00833BB7" w:rsidRPr="00833BB7" w:rsidRDefault="00833BB7" w:rsidP="004D0BC1">
      <w:pPr>
        <w:pStyle w:val="V-tablefootnote"/>
        <w:keepNext w:val="0"/>
        <w:keepLines w:val="0"/>
        <w:widowControl w:val="0"/>
      </w:pPr>
      <w:r>
        <w:t xml:space="preserve">Abbreviations: BICR=blinded independent central review; CR=complete response; DOR=duration of response; </w:t>
      </w:r>
      <w:r>
        <w:noBreakHyphen/>
        <w:t xml:space="preserve">ORR=objective response rate; OS=overall survival; PFS=progression-free survival; PK=pharmacokinetic; PR=partial response; RECIST v1.1=Response Evaluation Criteria in Solid Tumors </w:t>
      </w:r>
      <w:r w:rsidR="004D0BC1">
        <w:t>v</w:t>
      </w:r>
      <w:r>
        <w:t>1.1; SAE=serious adverse event; TEAE=treatment-emergent adverse event; TRAE=treatment-related treatment-emergent adverse event</w:t>
      </w:r>
      <w:r w:rsidR="004D0BC1">
        <w:t>.</w:t>
      </w:r>
    </w:p>
    <w:p w14:paraId="7B8A9FD0" w14:textId="0D86673D" w:rsidR="004D0BC1" w:rsidRPr="004D0BC1" w:rsidRDefault="004D0BC1" w:rsidP="004D0BC1">
      <w:pPr>
        <w:pStyle w:val="Caption"/>
      </w:pPr>
      <w:bookmarkStart w:id="39" w:name="_Toc233801734"/>
      <w:r>
        <w:lastRenderedPageBreak/>
        <w:t>Table </w:t>
      </w:r>
      <w:r>
        <w:fldChar w:fldCharType="begin"/>
      </w:r>
      <w:r>
        <w:instrText xml:space="preserve"> SEQ Table \* ARABIC </w:instrText>
      </w:r>
      <w:r>
        <w:fldChar w:fldCharType="separate"/>
      </w:r>
      <w:r w:rsidR="00272496">
        <w:rPr>
          <w:noProof/>
        </w:rPr>
        <w:t>3</w:t>
      </w:r>
      <w:r>
        <w:fldChar w:fldCharType="end"/>
      </w:r>
      <w:r>
        <w:t>:</w:t>
      </w:r>
      <w:r>
        <w:tab/>
        <w:t>Exploratory Objectives and Endpoints</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833BB7" w:rsidRPr="002939B0" w14:paraId="386ED270" w14:textId="77777777" w:rsidTr="00B57F24">
        <w:trPr>
          <w:tblHeader/>
        </w:trPr>
        <w:tc>
          <w:tcPr>
            <w:tcW w:w="2508" w:type="pct"/>
          </w:tcPr>
          <w:p w14:paraId="5256CB78" w14:textId="77777777" w:rsidR="00833BB7" w:rsidRPr="002939B0" w:rsidRDefault="00833BB7" w:rsidP="009107D4">
            <w:pPr>
              <w:pStyle w:val="V-tableheader"/>
              <w:keepNext/>
              <w:rPr>
                <w:lang w:val="en-GB"/>
              </w:rPr>
            </w:pPr>
            <w:r>
              <w:rPr>
                <w:lang w:val="en-GB"/>
              </w:rPr>
              <w:t>Objectives</w:t>
            </w:r>
          </w:p>
        </w:tc>
        <w:tc>
          <w:tcPr>
            <w:tcW w:w="2492" w:type="pct"/>
          </w:tcPr>
          <w:p w14:paraId="66C897A7" w14:textId="77777777" w:rsidR="00833BB7" w:rsidRPr="002939B0" w:rsidRDefault="00833BB7" w:rsidP="009107D4">
            <w:pPr>
              <w:pStyle w:val="V-tableheader"/>
              <w:keepNext/>
            </w:pPr>
            <w:r>
              <w:t>Endpoints</w:t>
            </w:r>
          </w:p>
        </w:tc>
      </w:tr>
      <w:tr w:rsidR="00833BB7" w:rsidRPr="002939B0" w14:paraId="729F5F9D" w14:textId="77777777" w:rsidTr="00B57F24">
        <w:tc>
          <w:tcPr>
            <w:tcW w:w="5000" w:type="pct"/>
            <w:gridSpan w:val="2"/>
          </w:tcPr>
          <w:p w14:paraId="4854A734" w14:textId="31BA5200" w:rsidR="00833BB7" w:rsidRPr="002939B0" w:rsidRDefault="00833BB7" w:rsidP="009107D4">
            <w:pPr>
              <w:pStyle w:val="V-tablebody"/>
              <w:keepNext/>
              <w:keepLines/>
            </w:pPr>
            <w:r>
              <w:rPr>
                <w:b/>
                <w:bCs/>
              </w:rPr>
              <w:t>Exploratory</w:t>
            </w:r>
          </w:p>
        </w:tc>
      </w:tr>
      <w:tr w:rsidR="00833BB7" w:rsidRPr="002939B0" w14:paraId="3FE74D3D" w14:textId="77777777" w:rsidTr="00B57F24">
        <w:tc>
          <w:tcPr>
            <w:tcW w:w="2508" w:type="pct"/>
          </w:tcPr>
          <w:p w14:paraId="49A4C81B" w14:textId="77777777" w:rsidR="00833BB7" w:rsidRPr="002939B0" w:rsidRDefault="00833BB7" w:rsidP="00E62252">
            <w:pPr>
              <w:pStyle w:val="V-tablebullet2"/>
              <w:rPr>
                <w:lang w:val="en-GB"/>
              </w:rPr>
            </w:pPr>
            <w:r>
              <w:t>To evaluate the association between candidate biomarkers of response and resistance and clinical efficacy.</w:t>
            </w:r>
          </w:p>
        </w:tc>
        <w:tc>
          <w:tcPr>
            <w:tcW w:w="2492" w:type="pct"/>
          </w:tcPr>
          <w:p w14:paraId="519D8B8D" w14:textId="77777777" w:rsidR="00833BB7" w:rsidRPr="00E62252" w:rsidRDefault="00833BB7" w:rsidP="00452F4D">
            <w:pPr>
              <w:pStyle w:val="V-tablebullet1"/>
            </w:pPr>
            <w:r w:rsidRPr="00E62252">
              <w:t>Association between baseline and on-treatment biomarker measures (for example, tumor and blood-based markers) and progression-free survival, overall survival, and objective response.</w:t>
            </w:r>
          </w:p>
        </w:tc>
      </w:tr>
      <w:tr w:rsidR="00833BB7" w:rsidRPr="002939B0" w14:paraId="6417A071" w14:textId="77777777" w:rsidTr="00B57F24">
        <w:tc>
          <w:tcPr>
            <w:tcW w:w="2508" w:type="pct"/>
          </w:tcPr>
          <w:p w14:paraId="23FF6E9A" w14:textId="77777777" w:rsidR="00833BB7" w:rsidRPr="002939B0" w:rsidRDefault="00833BB7" w:rsidP="00E62252">
            <w:pPr>
              <w:pStyle w:val="V-tablebullet2"/>
              <w:rPr>
                <w:lang w:val="en-GB"/>
              </w:rPr>
            </w:pPr>
            <w:r>
              <w:t>To characterize circulating tumor DNA (ctDNA) dynamics during treatment and their relationship with outcome.</w:t>
            </w:r>
          </w:p>
        </w:tc>
        <w:tc>
          <w:tcPr>
            <w:tcW w:w="2492" w:type="pct"/>
          </w:tcPr>
          <w:p w14:paraId="1942BD46" w14:textId="77777777" w:rsidR="00833BB7" w:rsidRPr="00E62252" w:rsidRDefault="00833BB7" w:rsidP="00452F4D">
            <w:pPr>
              <w:pStyle w:val="V-tablebullet1"/>
            </w:pPr>
            <w:r w:rsidRPr="00E62252">
              <w:t>Change from baseline in ctDNA and the association between early ctDNA change and progression-free and overall survival.</w:t>
            </w:r>
          </w:p>
        </w:tc>
      </w:tr>
      <w:tr w:rsidR="00833BB7" w:rsidRPr="002939B0" w14:paraId="47F2E1A4" w14:textId="77777777" w:rsidTr="00B57F24">
        <w:tc>
          <w:tcPr>
            <w:tcW w:w="2508" w:type="pct"/>
          </w:tcPr>
          <w:p w14:paraId="3063EA2B" w14:textId="77777777" w:rsidR="00833BB7" w:rsidRPr="002939B0" w:rsidRDefault="00833BB7" w:rsidP="00E62252">
            <w:pPr>
              <w:pStyle w:val="V-tablebullet2"/>
              <w:rPr>
                <w:lang w:val="en-GB"/>
              </w:rPr>
            </w:pPr>
            <w:r>
              <w:t>To evaluate patient-reported outcomes and health-related quality of life.</w:t>
            </w:r>
          </w:p>
        </w:tc>
        <w:tc>
          <w:tcPr>
            <w:tcW w:w="2492" w:type="pct"/>
          </w:tcPr>
          <w:p w14:paraId="041B2EE5" w14:textId="77777777" w:rsidR="00833BB7" w:rsidRPr="00E62252" w:rsidRDefault="00833BB7" w:rsidP="00452F4D">
            <w:pPr>
              <w:pStyle w:val="V-tablebullet1"/>
            </w:pPr>
            <w:r w:rsidRPr="00E62252">
              <w:t>Change from baseline over time in patient-reported outcome and health-related quality-of-life instrument scores.</w:t>
            </w:r>
          </w:p>
        </w:tc>
      </w:tr>
      <w:tr w:rsidR="00833BB7" w:rsidRPr="002939B0" w14:paraId="1EBE3261" w14:textId="77777777" w:rsidTr="00B57F24">
        <w:tc>
          <w:tcPr>
            <w:tcW w:w="2508" w:type="pct"/>
          </w:tcPr>
          <w:p w14:paraId="21E2AE4E" w14:textId="77777777" w:rsidR="00833BB7" w:rsidRPr="002939B0" w:rsidRDefault="00833BB7" w:rsidP="00E62252">
            <w:pPr>
              <w:pStyle w:val="V-tablebullet2"/>
              <w:rPr>
                <w:lang w:val="en-GB"/>
              </w:rPr>
            </w:pPr>
            <w:r>
              <w:t>To evaluate healthcare resource utilization associated with treatment.</w:t>
            </w:r>
          </w:p>
        </w:tc>
        <w:tc>
          <w:tcPr>
            <w:tcW w:w="2492" w:type="pct"/>
          </w:tcPr>
          <w:p w14:paraId="1045B923" w14:textId="77777777" w:rsidR="00833BB7" w:rsidRPr="00E62252" w:rsidRDefault="00833BB7" w:rsidP="00452F4D">
            <w:pPr>
              <w:pStyle w:val="V-tablebullet1"/>
            </w:pPr>
            <w:r w:rsidRPr="00E62252">
              <w:t>Healthcare resource utilization, including hospitalizations, emergency visits, and concomitant supportive-care use.</w:t>
            </w:r>
          </w:p>
        </w:tc>
      </w:tr>
      <w:tr w:rsidR="00833BB7" w:rsidRPr="002939B0" w14:paraId="6E244305" w14:textId="77777777" w:rsidTr="00B57F24">
        <w:tc>
          <w:tcPr>
            <w:tcW w:w="2508" w:type="pct"/>
          </w:tcPr>
          <w:p w14:paraId="5DDC1C2D" w14:textId="77777777" w:rsidR="00833BB7" w:rsidRPr="002939B0" w:rsidRDefault="00833BB7" w:rsidP="00E62252">
            <w:pPr>
              <w:pStyle w:val="V-tablebullet2"/>
              <w:rPr>
                <w:lang w:val="en-GB"/>
              </w:rPr>
            </w:pPr>
            <w:r>
              <w:t>To assess the immunogenicity of DRUG‑123.</w:t>
            </w:r>
          </w:p>
        </w:tc>
        <w:tc>
          <w:tcPr>
            <w:tcW w:w="2492" w:type="pct"/>
          </w:tcPr>
          <w:p w14:paraId="6031C77B" w14:textId="77777777" w:rsidR="00833BB7" w:rsidRPr="00E62252" w:rsidRDefault="00833BB7" w:rsidP="00452F4D">
            <w:pPr>
              <w:pStyle w:val="V-tablebullet1"/>
            </w:pPr>
            <w:r w:rsidRPr="00E62252">
              <w:t>Incidence and titers of anti-drug antibodies to DRUG‑123 over time, and their relationship with pharmacokinetics, efficacy, and safety.</w:t>
            </w:r>
          </w:p>
        </w:tc>
      </w:tr>
      <w:tr w:rsidR="00833BB7" w:rsidRPr="002939B0" w14:paraId="6D15F046" w14:textId="77777777" w:rsidTr="00B57F24">
        <w:tc>
          <w:tcPr>
            <w:tcW w:w="2508" w:type="pct"/>
          </w:tcPr>
          <w:p w14:paraId="70BEB16B" w14:textId="77777777" w:rsidR="00833BB7" w:rsidRPr="002939B0" w:rsidRDefault="00833BB7" w:rsidP="00E62252">
            <w:pPr>
              <w:pStyle w:val="V-tablebullet2"/>
              <w:rPr>
                <w:lang w:val="en-GB"/>
              </w:rPr>
            </w:pPr>
            <w:r>
              <w:t>To explore the relationship between DRUG‑123 exposure and measures of efficacy and safety.</w:t>
            </w:r>
          </w:p>
        </w:tc>
        <w:tc>
          <w:tcPr>
            <w:tcW w:w="2492" w:type="pct"/>
          </w:tcPr>
          <w:p w14:paraId="5EA939C0" w14:textId="77777777" w:rsidR="00833BB7" w:rsidRPr="00E62252" w:rsidRDefault="00833BB7" w:rsidP="00452F4D">
            <w:pPr>
              <w:pStyle w:val="V-tablebullet1"/>
            </w:pPr>
            <w:r w:rsidRPr="00E62252">
              <w:t>Exposure-response relationships between DRUG‑123 exposure and selected efficacy and safety endpoints.</w:t>
            </w:r>
          </w:p>
        </w:tc>
      </w:tr>
    </w:tbl>
    <w:p w14:paraId="7DAFA5D6" w14:textId="7EFC0C75" w:rsidR="00833BB7" w:rsidRPr="00AA3039" w:rsidRDefault="00833BB7" w:rsidP="00833BB7">
      <w:pPr>
        <w:pStyle w:val="V-tablefootnote"/>
      </w:pPr>
      <w:r>
        <w:t xml:space="preserve">Abbreviations: BICR=blinded independent central review; CR=complete response; DOR=duration of response; </w:t>
      </w:r>
      <w:r>
        <w:noBreakHyphen/>
        <w:t xml:space="preserve">ORR=objective response rate; OS=overall survival; PFS=progression-free survival; PK=pharmacokinetic; PR=partial response; RECIST v1.1=Response Evaluation Criteria in Solid Tumors version 1.1; SAE=serious adverse event; TEAE=treatment-emergent adverse event; TRAE=treatment-related treatment-emergent adverse event; </w:t>
      </w:r>
    </w:p>
    <w:p w14:paraId="372D925F" w14:textId="77777777" w:rsidR="008F65FC" w:rsidRDefault="00000000" w:rsidP="005552F9">
      <w:pPr>
        <w:pStyle w:val="V-heading2"/>
      </w:pPr>
      <w:bookmarkStart w:id="40" w:name="_Toc233801671"/>
      <w:r>
        <w:t>Associated Estimands</w:t>
      </w:r>
      <w:bookmarkEnd w:id="40"/>
    </w:p>
    <w:p w14:paraId="6A55219F" w14:textId="77777777" w:rsidR="008F65FC" w:rsidRDefault="00000000">
      <w:pPr>
        <w:pStyle w:val="V-Guidance"/>
      </w:pPr>
      <w:r>
        <w:t>Provide a full estimand for each confirmatory objective (ICH E9(R1)). The table states, for the primary and key secondary estimands, the five attributes: treatment condition, population, variable (endpoint), the intercurrent events anticipated and the strategy for each, and the population-level summary.</w:t>
      </w:r>
    </w:p>
    <w:p w14:paraId="34DA0838" w14:textId="7CD06EFE" w:rsidR="00244AFC" w:rsidRDefault="00244AFC">
      <w:pPr>
        <w:pStyle w:val="V-Guidance"/>
      </w:pPr>
      <w:r>
        <w:t>Note. The estimand makes the treatment effect being estimated explicit, so that the design, the handling of intercurrent events, and the analysis are aligned. A full estimand is required for the primary and key secondary confirmatory objectives, so that the design, the handling of intercurrent events, and the analysis are aligned.</w:t>
      </w:r>
    </w:p>
    <w:p w14:paraId="6DDC257B" w14:textId="4FCCB43E" w:rsidR="00E62252" w:rsidRPr="00E62252" w:rsidRDefault="00E62252" w:rsidP="00E62252">
      <w:pPr>
        <w:pStyle w:val="Caption"/>
      </w:pPr>
      <w:bookmarkStart w:id="41" w:name="_Toc233620075"/>
      <w:bookmarkStart w:id="42" w:name="_Toc233801735"/>
      <w:bookmarkEnd w:id="41"/>
      <w:r>
        <w:lastRenderedPageBreak/>
        <w:t>Table </w:t>
      </w:r>
      <w:r>
        <w:fldChar w:fldCharType="begin"/>
      </w:r>
      <w:r>
        <w:instrText xml:space="preserve"> SEQ Table \* ARABIC </w:instrText>
      </w:r>
      <w:r>
        <w:fldChar w:fldCharType="separate"/>
      </w:r>
      <w:r w:rsidR="00272496">
        <w:rPr>
          <w:noProof/>
        </w:rPr>
        <w:t>4</w:t>
      </w:r>
      <w:r>
        <w:fldChar w:fldCharType="end"/>
      </w:r>
      <w:r>
        <w:t>:</w:t>
      </w:r>
      <w:r>
        <w:tab/>
        <w:t>Estimands for Primary and Key Secondary Endpoints</w:t>
      </w:r>
      <w:bookmarkEnd w:id="4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9"/>
        <w:gridCol w:w="2577"/>
        <w:gridCol w:w="2577"/>
        <w:gridCol w:w="2577"/>
      </w:tblGrid>
      <w:tr w:rsidR="008F65FC" w14:paraId="6B8F13A8" w14:textId="77777777" w:rsidTr="00B57F24">
        <w:trPr>
          <w:tblHeader/>
        </w:trPr>
        <w:tc>
          <w:tcPr>
            <w:tcW w:w="866" w:type="pct"/>
          </w:tcPr>
          <w:p w14:paraId="63606DAD" w14:textId="77777777" w:rsidR="008F65FC" w:rsidRDefault="00000000">
            <w:pPr>
              <w:pStyle w:val="V-tableheader"/>
            </w:pPr>
            <w:r>
              <w:t>Attribute</w:t>
            </w:r>
          </w:p>
        </w:tc>
        <w:tc>
          <w:tcPr>
            <w:tcW w:w="1378" w:type="pct"/>
          </w:tcPr>
          <w:p w14:paraId="055C80CF" w14:textId="77777777" w:rsidR="008F65FC" w:rsidRDefault="00000000">
            <w:pPr>
              <w:pStyle w:val="V-tableheader"/>
            </w:pPr>
            <w:r>
              <w:t>Primary estimand (PFS)</w:t>
            </w:r>
          </w:p>
        </w:tc>
        <w:tc>
          <w:tcPr>
            <w:tcW w:w="1378" w:type="pct"/>
          </w:tcPr>
          <w:p w14:paraId="48C63B72" w14:textId="77777777" w:rsidR="008F65FC" w:rsidRDefault="00000000">
            <w:pPr>
              <w:pStyle w:val="V-tableheader"/>
            </w:pPr>
            <w:r>
              <w:t>Key secondary estimand (OS)</w:t>
            </w:r>
          </w:p>
        </w:tc>
        <w:tc>
          <w:tcPr>
            <w:tcW w:w="1378" w:type="pct"/>
          </w:tcPr>
          <w:p w14:paraId="77E371BB" w14:textId="77777777" w:rsidR="008F65FC" w:rsidRDefault="00000000">
            <w:pPr>
              <w:pStyle w:val="V-tableheader"/>
            </w:pPr>
            <w:r>
              <w:t>Key secondary estimand (ORR)</w:t>
            </w:r>
          </w:p>
        </w:tc>
      </w:tr>
      <w:tr w:rsidR="008F65FC" w14:paraId="5406EED8" w14:textId="77777777" w:rsidTr="00B57F24">
        <w:tc>
          <w:tcPr>
            <w:tcW w:w="866" w:type="pct"/>
          </w:tcPr>
          <w:p w14:paraId="6AF2167B" w14:textId="77777777" w:rsidR="008F65FC" w:rsidRDefault="00000000">
            <w:pPr>
              <w:pStyle w:val="V-tablerowheader"/>
            </w:pPr>
            <w:r>
              <w:t>Treatment</w:t>
            </w:r>
          </w:p>
        </w:tc>
        <w:tc>
          <w:tcPr>
            <w:tcW w:w="1378" w:type="pct"/>
          </w:tcPr>
          <w:p w14:paraId="64554FA9" w14:textId="77777777" w:rsidR="008F65FC" w:rsidRPr="00740A52" w:rsidRDefault="00000000" w:rsidP="00740A52">
            <w:pPr>
              <w:pStyle w:val="V-tablecellleft"/>
            </w:pPr>
            <w:r w:rsidRPr="00740A52">
              <w:t>DRUG‑123 plus platinum-based chemotherapy compared with placebo plus platinum-based chemotherapy, as randomized.</w:t>
            </w:r>
          </w:p>
        </w:tc>
        <w:tc>
          <w:tcPr>
            <w:tcW w:w="1378" w:type="pct"/>
          </w:tcPr>
          <w:p w14:paraId="37DE04A6" w14:textId="77777777" w:rsidR="008F65FC" w:rsidRPr="00740A52" w:rsidRDefault="00000000" w:rsidP="00740A52">
            <w:pPr>
              <w:pStyle w:val="V-tablecellleft"/>
            </w:pPr>
            <w:r w:rsidRPr="00740A52">
              <w:t>As randomized (DRUG‑123 versus placebo, each with platinum-based chemotherapy).</w:t>
            </w:r>
          </w:p>
        </w:tc>
        <w:tc>
          <w:tcPr>
            <w:tcW w:w="1378" w:type="pct"/>
          </w:tcPr>
          <w:p w14:paraId="5B65309D" w14:textId="77777777" w:rsidR="008F65FC" w:rsidRPr="00740A52" w:rsidRDefault="00000000" w:rsidP="00740A52">
            <w:pPr>
              <w:pStyle w:val="V-tablecellleft"/>
            </w:pPr>
            <w:r w:rsidRPr="00740A52">
              <w:t>As randomized (DRUG‑123 versus placebo, each with platinum-based chemotherapy).</w:t>
            </w:r>
          </w:p>
        </w:tc>
      </w:tr>
      <w:tr w:rsidR="008F65FC" w14:paraId="21185EF5" w14:textId="77777777" w:rsidTr="00B57F24">
        <w:tc>
          <w:tcPr>
            <w:tcW w:w="866" w:type="pct"/>
          </w:tcPr>
          <w:p w14:paraId="2905BF51" w14:textId="77777777" w:rsidR="008F65FC" w:rsidRDefault="00000000">
            <w:pPr>
              <w:pStyle w:val="V-tablerowheader"/>
            </w:pPr>
            <w:r>
              <w:t>Population</w:t>
            </w:r>
          </w:p>
        </w:tc>
        <w:tc>
          <w:tcPr>
            <w:tcW w:w="1378" w:type="pct"/>
          </w:tcPr>
          <w:p w14:paraId="5C896103" w14:textId="221F56DE" w:rsidR="008F65FC" w:rsidRPr="00740A52" w:rsidRDefault="00000000" w:rsidP="00740A52">
            <w:pPr>
              <w:pStyle w:val="V-tablecellleft"/>
            </w:pPr>
            <w:r w:rsidRPr="00740A52">
              <w:t>Randomized patients with second-line persistent, recurrent, or metastatic disease meeting the eligibility criteria.</w:t>
            </w:r>
          </w:p>
        </w:tc>
        <w:tc>
          <w:tcPr>
            <w:tcW w:w="1378" w:type="pct"/>
          </w:tcPr>
          <w:p w14:paraId="1D5BA116" w14:textId="77777777" w:rsidR="008F65FC" w:rsidRPr="00740A52" w:rsidRDefault="00000000" w:rsidP="00740A52">
            <w:pPr>
              <w:pStyle w:val="V-tablecellleft"/>
            </w:pPr>
            <w:r w:rsidRPr="00740A52">
              <w:t>Randomized patients meeting the eligibility criteria.</w:t>
            </w:r>
          </w:p>
        </w:tc>
        <w:tc>
          <w:tcPr>
            <w:tcW w:w="1378" w:type="pct"/>
          </w:tcPr>
          <w:p w14:paraId="5F3F792B" w14:textId="77777777" w:rsidR="008F65FC" w:rsidRPr="00740A52" w:rsidRDefault="00000000" w:rsidP="00740A52">
            <w:pPr>
              <w:pStyle w:val="V-tablecellleft"/>
            </w:pPr>
            <w:r w:rsidRPr="00740A52">
              <w:t>Randomized patients with measurable disease at baseline meeting the eligibility criteria.</w:t>
            </w:r>
          </w:p>
        </w:tc>
      </w:tr>
      <w:tr w:rsidR="008F65FC" w14:paraId="30F1890A" w14:textId="77777777" w:rsidTr="00B57F24">
        <w:tc>
          <w:tcPr>
            <w:tcW w:w="866" w:type="pct"/>
          </w:tcPr>
          <w:p w14:paraId="3EFFABE7" w14:textId="77777777" w:rsidR="008F65FC" w:rsidRDefault="00000000">
            <w:pPr>
              <w:pStyle w:val="V-tablerowheader"/>
            </w:pPr>
            <w:r>
              <w:t>Variable (endpoint)</w:t>
            </w:r>
          </w:p>
        </w:tc>
        <w:tc>
          <w:tcPr>
            <w:tcW w:w="1378" w:type="pct"/>
          </w:tcPr>
          <w:p w14:paraId="7172A105" w14:textId="77777777" w:rsidR="008F65FC" w:rsidRPr="00740A52" w:rsidRDefault="00000000" w:rsidP="00740A52">
            <w:pPr>
              <w:pStyle w:val="V-tablecellleft"/>
            </w:pPr>
            <w:r w:rsidRPr="00740A52">
              <w:t>Progression-free survival per RECIST v1.1 by investigator assessment: time from randomization to first documented progression or death from any cause.</w:t>
            </w:r>
          </w:p>
        </w:tc>
        <w:tc>
          <w:tcPr>
            <w:tcW w:w="1378" w:type="pct"/>
          </w:tcPr>
          <w:p w14:paraId="5598306E" w14:textId="77777777" w:rsidR="008F65FC" w:rsidRPr="00740A52" w:rsidRDefault="00000000" w:rsidP="00740A52">
            <w:pPr>
              <w:pStyle w:val="V-tablecellleft"/>
            </w:pPr>
            <w:r w:rsidRPr="00740A52">
              <w:t>Overall survival: time from randomization to death from any cause.</w:t>
            </w:r>
          </w:p>
        </w:tc>
        <w:tc>
          <w:tcPr>
            <w:tcW w:w="1378" w:type="pct"/>
          </w:tcPr>
          <w:p w14:paraId="4A86D04A" w14:textId="77777777" w:rsidR="008F65FC" w:rsidRPr="00740A52" w:rsidRDefault="00000000" w:rsidP="00740A52">
            <w:pPr>
              <w:pStyle w:val="V-tablecellleft"/>
            </w:pPr>
            <w:r w:rsidRPr="00740A52">
              <w:t>Objective response rate per RECIST v1.1 by investigator assessment: proportion with a best overall response of confirmed complete or partial response.</w:t>
            </w:r>
          </w:p>
        </w:tc>
      </w:tr>
      <w:tr w:rsidR="008F65FC" w14:paraId="628CFEE3" w14:textId="77777777" w:rsidTr="00B57F24">
        <w:tc>
          <w:tcPr>
            <w:tcW w:w="866" w:type="pct"/>
          </w:tcPr>
          <w:p w14:paraId="3D231C86" w14:textId="77777777" w:rsidR="008F65FC" w:rsidRDefault="00000000" w:rsidP="00833BB7">
            <w:pPr>
              <w:pStyle w:val="V-tablerowheader"/>
              <w:widowControl w:val="0"/>
            </w:pPr>
            <w:r>
              <w:t>Intercurrent events and strategy</w:t>
            </w:r>
          </w:p>
        </w:tc>
        <w:tc>
          <w:tcPr>
            <w:tcW w:w="1378" w:type="pct"/>
          </w:tcPr>
          <w:p w14:paraId="50FBE9D2" w14:textId="77777777" w:rsidR="008F65FC" w:rsidRPr="00740A52" w:rsidRDefault="00000000" w:rsidP="00740A52">
            <w:pPr>
              <w:pStyle w:val="V-tablebullet1"/>
            </w:pPr>
            <w:r w:rsidRPr="00740A52">
              <w:t>Subsequent anticancer therapy before progression and discontinuation of randomized treatment: treatment-policy strategy (events counted regardless).</w:t>
            </w:r>
          </w:p>
          <w:p w14:paraId="6FB85DAB" w14:textId="77777777" w:rsidR="008F65FC" w:rsidRPr="00740A52" w:rsidRDefault="00000000" w:rsidP="00740A52">
            <w:pPr>
              <w:pStyle w:val="V-tablebullet1"/>
            </w:pPr>
            <w:r w:rsidRPr="00740A52">
              <w:t>Death without prior progression: event at date of death.</w:t>
            </w:r>
          </w:p>
          <w:p w14:paraId="0EEE64AE" w14:textId="77777777" w:rsidR="008F65FC" w:rsidRDefault="00000000" w:rsidP="00740A52">
            <w:pPr>
              <w:pStyle w:val="V-tablebullet1"/>
            </w:pPr>
            <w:r w:rsidRPr="00740A52">
              <w:t>Two or more consecutive missed assessments before an event: censored at the last adequate assessment.</w:t>
            </w:r>
          </w:p>
        </w:tc>
        <w:tc>
          <w:tcPr>
            <w:tcW w:w="1378" w:type="pct"/>
          </w:tcPr>
          <w:p w14:paraId="2A070DB9" w14:textId="77777777" w:rsidR="008F65FC" w:rsidRDefault="00000000" w:rsidP="00740A52">
            <w:pPr>
              <w:pStyle w:val="V-tablecellleft"/>
            </w:pPr>
            <w:r w:rsidRPr="00244AFC">
              <w:rPr>
                <w:b/>
                <w:bCs/>
              </w:rPr>
              <w:t>Treatment-policy strategy</w:t>
            </w:r>
            <w:r>
              <w:t xml:space="preserve"> for all intercurrent events (treatment discontinuation, treatment interruption, start of subsequent therapy): death is captured regardless of these events. Patients not known to have died are censored at the last date known to be alive.</w:t>
            </w:r>
          </w:p>
        </w:tc>
        <w:tc>
          <w:tcPr>
            <w:tcW w:w="1378" w:type="pct"/>
          </w:tcPr>
          <w:p w14:paraId="6BA636B0" w14:textId="77777777" w:rsidR="008F65FC" w:rsidRDefault="00000000" w:rsidP="00740A52">
            <w:pPr>
              <w:pStyle w:val="V-tablecellleft"/>
            </w:pPr>
            <w:r w:rsidRPr="00244AFC">
              <w:rPr>
                <w:b/>
                <w:bCs/>
              </w:rPr>
              <w:t>Composite strategy</w:t>
            </w:r>
            <w:r>
              <w:t>: a patient with no evaluable post-baseline assessment, or who starts subsequent anticancer therapy before a confirmed response, is classified as a non-responder.</w:t>
            </w:r>
          </w:p>
        </w:tc>
      </w:tr>
      <w:tr w:rsidR="008F65FC" w14:paraId="5FA000A3" w14:textId="77777777" w:rsidTr="00B57F24">
        <w:tc>
          <w:tcPr>
            <w:tcW w:w="866" w:type="pct"/>
          </w:tcPr>
          <w:p w14:paraId="561B3B88" w14:textId="77777777" w:rsidR="008F65FC" w:rsidRDefault="00000000">
            <w:pPr>
              <w:pStyle w:val="V-tablerowheader"/>
            </w:pPr>
            <w:r>
              <w:t>Population-level summary</w:t>
            </w:r>
          </w:p>
        </w:tc>
        <w:tc>
          <w:tcPr>
            <w:tcW w:w="1378" w:type="pct"/>
          </w:tcPr>
          <w:p w14:paraId="6DC7ADEA" w14:textId="77777777" w:rsidR="008F65FC" w:rsidRPr="00740A52" w:rsidRDefault="00000000" w:rsidP="00740A52">
            <w:pPr>
              <w:pStyle w:val="V-tablecellleft"/>
            </w:pPr>
            <w:r w:rsidRPr="00740A52">
              <w:t>Hazard ratio between arms from a stratified Cox model, supported by Kaplan-Meier median PFS and progression-free rates at protocol-defined time points.</w:t>
            </w:r>
          </w:p>
        </w:tc>
        <w:tc>
          <w:tcPr>
            <w:tcW w:w="1378" w:type="pct"/>
          </w:tcPr>
          <w:p w14:paraId="2067DE39" w14:textId="77777777" w:rsidR="008F65FC" w:rsidRPr="00740A52" w:rsidRDefault="00000000" w:rsidP="00740A52">
            <w:pPr>
              <w:pStyle w:val="V-tablecellleft"/>
            </w:pPr>
            <w:r w:rsidRPr="00740A52">
              <w:t>Hazard ratio between arms from a stratified Cox model, supported by Kaplan-Meier median OS and landmark survival rates.</w:t>
            </w:r>
          </w:p>
        </w:tc>
        <w:tc>
          <w:tcPr>
            <w:tcW w:w="1378" w:type="pct"/>
          </w:tcPr>
          <w:p w14:paraId="4BC5000E" w14:textId="77777777" w:rsidR="008F65FC" w:rsidRPr="00740A52" w:rsidRDefault="00000000" w:rsidP="00740A52">
            <w:pPr>
              <w:pStyle w:val="V-tablecellleft"/>
            </w:pPr>
            <w:r w:rsidRPr="00740A52">
              <w:t>Difference in response proportions between arms with 95% confidence intervals, the odds ratio as a supporting measure.</w:t>
            </w:r>
          </w:p>
        </w:tc>
      </w:tr>
    </w:tbl>
    <w:p w14:paraId="004F7DA1" w14:textId="77777777" w:rsidR="008F65FC" w:rsidRDefault="00000000">
      <w:pPr>
        <w:pStyle w:val="V-heading1"/>
      </w:pPr>
      <w:bookmarkStart w:id="43" w:name="_Toc233801672"/>
      <w:r>
        <w:lastRenderedPageBreak/>
        <w:t>Study Design</w:t>
      </w:r>
      <w:bookmarkEnd w:id="43"/>
    </w:p>
    <w:p w14:paraId="04932A9C" w14:textId="77777777" w:rsidR="008F65FC" w:rsidRDefault="00000000" w:rsidP="005552F9">
      <w:pPr>
        <w:pStyle w:val="V-heading2"/>
      </w:pPr>
      <w:bookmarkStart w:id="44" w:name="_Toc233801673"/>
      <w:r>
        <w:t>Description of Study Design</w:t>
      </w:r>
      <w:bookmarkEnd w:id="44"/>
    </w:p>
    <w:p w14:paraId="1CD66117" w14:textId="77777777" w:rsidR="008F65FC" w:rsidRDefault="00000000">
      <w:pPr>
        <w:pStyle w:val="V-Guidance"/>
      </w:pPr>
      <w:r>
        <w:t>ICH M11 §4.1. Describe the design type, arms, allocation ratio, blinding, periods, the planned number of patients, and the overall duration.</w:t>
      </w:r>
    </w:p>
    <w:p w14:paraId="512FA2CE" w14:textId="77777777" w:rsidR="008F65FC" w:rsidRDefault="00000000">
      <w:pPr>
        <w:pStyle w:val="V-Example"/>
      </w:pPr>
      <w:r>
        <w:t>This is a Phase 3 randomized, double-blind, placebo-controlled trial of DRUG‑123 plus platinum-based chemotherapy versus placebo plus platinum-based chemotherapy in patients with persistent, recurrent, or metastatic disease who have not received prior systemic therapy in this setting. Approximately 600 patients are enrolled. After a screening period of a maximum of 28 days, eligible patients are first stratified, then randomized centrally in a 1:1 ratio to one of the two treatment groups. Randomization is central and is stratified by metastatic disease at initial diagnosis (yes versus no), planned use of an anti-angiogenic agent (yes versus no), and baseline biomarker expression level (&lt; 1, 1 to &lt; 10, ≥ 10). Treatment assignment is blinded to the patient, the Investigator, and the Sponsor. There is no crossover.</w:t>
      </w:r>
    </w:p>
    <w:p w14:paraId="2523253B" w14:textId="2D51A2EA" w:rsidR="008F65FC" w:rsidRDefault="00000000" w:rsidP="00987BEB">
      <w:pPr>
        <w:pStyle w:val="V-heading2"/>
      </w:pPr>
      <w:bookmarkStart w:id="45" w:name="_Toc233801674"/>
      <w:r>
        <w:t>Scientific Rationale for Study Design</w:t>
      </w:r>
      <w:bookmarkEnd w:id="45"/>
    </w:p>
    <w:p w14:paraId="2E019315" w14:textId="41E50ACD" w:rsidR="00987BEB" w:rsidRDefault="00987BEB">
      <w:pPr>
        <w:pStyle w:val="V-Example"/>
      </w:pPr>
      <w:r>
        <w:t xml:space="preserve">The randomized, double-blind, placebo-controlled design directly tests whether adding DRUG‑123 to platinum-based chemotherapy improves progression-free survival in the first-line setting, isolating the contribution of DRUG‑123 while preserving the established standard of care for all patients. </w:t>
      </w:r>
    </w:p>
    <w:p w14:paraId="69E96144" w14:textId="52E7BD97" w:rsidR="00987BEB" w:rsidRDefault="00987BEB">
      <w:pPr>
        <w:pStyle w:val="V-Example"/>
      </w:pPr>
      <w:r>
        <w:t>A placebo-plus-chemotherapy control is appropriate because platinum-based chemotherapy is an established standard in the second-line setting, and adding matching placebo to that standard isolates the contribution of DRUG‑123 while preserving established therapy for all patients. The double blind reduces bias in the assessment of progression and of adverse events.</w:t>
      </w:r>
    </w:p>
    <w:p w14:paraId="178F2654" w14:textId="77777777" w:rsidR="008F65FC" w:rsidRDefault="00000000" w:rsidP="005552F9">
      <w:pPr>
        <w:pStyle w:val="V-heading2"/>
      </w:pPr>
      <w:bookmarkStart w:id="46" w:name="_Toc233801675"/>
      <w:r>
        <w:t>Stakeholder Input Into Design</w:t>
      </w:r>
      <w:bookmarkEnd w:id="46"/>
    </w:p>
    <w:p w14:paraId="69BE2F4B" w14:textId="77777777" w:rsidR="008F65FC" w:rsidRDefault="00000000">
      <w:pPr>
        <w:pStyle w:val="V-Guidance"/>
      </w:pPr>
      <w:r>
        <w:t>ICH M11 §4 (Study Design). Summarize any input from patients, patient-advocacy groups, or external advisors that informed the design (for example, the choice of endpoints, the assessment schedule, or quality-of-life measures), or state that none was sought.</w:t>
      </w:r>
    </w:p>
    <w:p w14:paraId="402934BA" w14:textId="6BCBB609" w:rsidR="008F65FC" w:rsidRDefault="00000000">
      <w:pPr>
        <w:pStyle w:val="V-Example"/>
      </w:pPr>
      <w:r>
        <w:t>Input from patient advocates and treating clinicians on the assessment burden and the patient-reported outcome instruments informed the visit schedule and the choice of quality-of-life measures. Regulatory scientific advice on the design and endpoints was obtained before the protocol was finalized.</w:t>
      </w:r>
    </w:p>
    <w:p w14:paraId="07D88D4E" w14:textId="1CFFDCC3" w:rsidR="008F65FC" w:rsidRDefault="00987BEB" w:rsidP="005552F9">
      <w:pPr>
        <w:pStyle w:val="V-heading2"/>
      </w:pPr>
      <w:bookmarkStart w:id="47" w:name="_Toc233801676"/>
      <w:r>
        <w:t>Planned Number of Patients</w:t>
      </w:r>
      <w:bookmarkEnd w:id="47"/>
    </w:p>
    <w:p w14:paraId="19B192A0" w14:textId="77777777" w:rsidR="008F65FC" w:rsidRDefault="00000000">
      <w:pPr>
        <w:pStyle w:val="V-Guidance"/>
      </w:pPr>
      <w:r>
        <w:t>State the planned number of patients and the basis for it; align with the Schedule of Activities and the sample-size determination in Section 10.</w:t>
      </w:r>
    </w:p>
    <w:p w14:paraId="0CFA9A55" w14:textId="77777777" w:rsidR="008F65FC" w:rsidRDefault="00000000">
      <w:pPr>
        <w:pStyle w:val="V-Example"/>
      </w:pPr>
      <w:r>
        <w:t>Approximately 600 patients are planned. The number is driven by the targeted number of progression-free-survival events required for the primary analysis, as described in Section 10.6.</w:t>
      </w:r>
    </w:p>
    <w:p w14:paraId="04FF564C" w14:textId="77777777" w:rsidR="008F65FC" w:rsidRDefault="00000000" w:rsidP="005552F9">
      <w:pPr>
        <w:pStyle w:val="V-heading2"/>
      </w:pPr>
      <w:bookmarkStart w:id="48" w:name="_Toc233801677"/>
      <w:r>
        <w:lastRenderedPageBreak/>
        <w:t>Study Stopping Rules</w:t>
      </w:r>
      <w:bookmarkEnd w:id="48"/>
    </w:p>
    <w:p w14:paraId="529E438D" w14:textId="77777777" w:rsidR="008F65FC" w:rsidRDefault="00000000">
      <w:pPr>
        <w:pStyle w:val="V-Guidance"/>
      </w:pPr>
      <w:r>
        <w:t>ICH M11 §4.3. State study-level and patient-level stopping rules and the governance for stopping decisions.</w:t>
      </w:r>
    </w:p>
    <w:p w14:paraId="768EC350" w14:textId="77777777" w:rsidR="008F65FC" w:rsidRDefault="00000000">
      <w:pPr>
        <w:pStyle w:val="V-Example"/>
      </w:pPr>
      <w:r>
        <w:t>The independent data monitoring committee may recommend stopping the study for efficacy, futility, or safety per its charter. At the patient level, study treatment is discontinued for disease progression, unacceptable toxicity, pregnancy, or withdrawal of consent, as defined in Section 7.</w:t>
      </w:r>
    </w:p>
    <w:p w14:paraId="5DE7BA43" w14:textId="77777777" w:rsidR="008F65FC" w:rsidRDefault="00000000" w:rsidP="005552F9">
      <w:pPr>
        <w:pStyle w:val="V-heading2"/>
      </w:pPr>
      <w:bookmarkStart w:id="49" w:name="_Toc233801678"/>
      <w:r>
        <w:t>Start of Study and End of Study</w:t>
      </w:r>
      <w:bookmarkEnd w:id="49"/>
    </w:p>
    <w:p w14:paraId="1DE19341" w14:textId="77777777" w:rsidR="008F65FC" w:rsidRDefault="00000000">
      <w:pPr>
        <w:pStyle w:val="V-Example"/>
      </w:pPr>
      <w:r>
        <w:t>The start of the study is the date the first patient signs informed consent. The end of the study is the date the last patient completes the protocol-specified follow-up, or the date of the final analysis required for the primary endpoint, whichever is later.</w:t>
      </w:r>
    </w:p>
    <w:p w14:paraId="71DAE234" w14:textId="77777777" w:rsidR="008F65FC" w:rsidRDefault="00000000" w:rsidP="005552F9">
      <w:pPr>
        <w:pStyle w:val="V-heading2"/>
      </w:pPr>
      <w:bookmarkStart w:id="50" w:name="_Toc233801679"/>
      <w:r>
        <w:t>Access to Study Treatment After End of Study</w:t>
      </w:r>
      <w:bookmarkEnd w:id="50"/>
    </w:p>
    <w:p w14:paraId="7524CA91" w14:textId="77777777" w:rsidR="008F65FC" w:rsidRDefault="00000000">
      <w:pPr>
        <w:pStyle w:val="V-Guidance"/>
      </w:pPr>
      <w:r>
        <w:t>ICH M11 §4 (Study Design). State any planned post-study access to the investigational product (for example, an open-label extension, rollover, or compassionate-use provision), or state that none is planned.</w:t>
      </w:r>
    </w:p>
    <w:p w14:paraId="747B975E" w14:textId="77777777" w:rsidR="008F65FC" w:rsidRDefault="00000000">
      <w:pPr>
        <w:pStyle w:val="V-Example"/>
      </w:pPr>
      <w:r>
        <w:t>Plans for continued access to DRUG‑123 after the end of the study, if any (for example, an open-label extension or a post-study access program for patients still deriving benefit), are described here and are subject to applicable regulation and Sponsor policy.</w:t>
      </w:r>
    </w:p>
    <w:p w14:paraId="446AD70D" w14:textId="77777777" w:rsidR="008F65FC" w:rsidRDefault="00000000">
      <w:pPr>
        <w:pStyle w:val="V-heading1"/>
      </w:pPr>
      <w:bookmarkStart w:id="51" w:name="_Toc233801680"/>
      <w:r>
        <w:lastRenderedPageBreak/>
        <w:t>Study Population</w:t>
      </w:r>
      <w:bookmarkEnd w:id="51"/>
    </w:p>
    <w:p w14:paraId="51C8E8C3" w14:textId="77777777" w:rsidR="008F65FC" w:rsidRDefault="00000000" w:rsidP="005552F9">
      <w:pPr>
        <w:pStyle w:val="V-heading2"/>
      </w:pPr>
      <w:bookmarkStart w:id="52" w:name="_Toc233801681"/>
      <w:r>
        <w:t>Description of Study Population and Rationale</w:t>
      </w:r>
      <w:bookmarkEnd w:id="52"/>
    </w:p>
    <w:p w14:paraId="23964EEB" w14:textId="77777777" w:rsidR="008F65FC" w:rsidRDefault="00000000">
      <w:pPr>
        <w:pStyle w:val="V-Guidance"/>
      </w:pPr>
      <w:r>
        <w:t>ICH M11 §5.1. Describe the intended population and why it is appropriate for the objectives. State the disease setting, prior-therapy requirements, performance status, and the basis for any age or organ-function limits. Provide the example that matches the program.</w:t>
      </w:r>
    </w:p>
    <w:p w14:paraId="18AC43D3" w14:textId="39815ECF" w:rsidR="008F65FC" w:rsidRDefault="00000000">
      <w:pPr>
        <w:pStyle w:val="V-Example"/>
      </w:pPr>
      <w:r>
        <w:t>The study enrolls adults with persistent, recurrent, or metastatic disease who have received one prior line of systemic therapy for advanced disease, with measurable disease per RECIST v1.1 and ECOG performance status 0 or 1. This second-line population is appropriate for evaluating whether DRUG‑123 adds to the benefit of chemotherapy in patients who have progressed on prior therapy. Requiring measurable disease supports the response-based secondary endpoints, and the performance-status limit selects patients able to tolerate combination therapy.</w:t>
      </w:r>
    </w:p>
    <w:p w14:paraId="23B2A7C8" w14:textId="77777777" w:rsidR="008F65FC" w:rsidRDefault="00000000" w:rsidP="005552F9">
      <w:pPr>
        <w:pStyle w:val="V-heading2"/>
      </w:pPr>
      <w:bookmarkStart w:id="53" w:name="_Toc233801682"/>
      <w:r>
        <w:t>Inclusion Criteria</w:t>
      </w:r>
      <w:bookmarkEnd w:id="53"/>
    </w:p>
    <w:p w14:paraId="449CC993" w14:textId="77777777" w:rsidR="007F7D80" w:rsidRDefault="00000000">
      <w:pPr>
        <w:pStyle w:val="V-Guidance"/>
      </w:pPr>
      <w:r>
        <w:t xml:space="preserve">ICH M11 §5.2. Each criterion is a discrete, verifiable statement; the criteria are numbered for cross-referencing. </w:t>
      </w:r>
    </w:p>
    <w:p w14:paraId="17DB6AFE" w14:textId="52AFFBF1" w:rsidR="008F65FC" w:rsidRDefault="00000000" w:rsidP="007F7D80">
      <w:pPr>
        <w:pStyle w:val="V-BodyText"/>
      </w:pPr>
      <w:r>
        <w:t xml:space="preserve">To be eligible, an individual must meet all of the following criteria. </w:t>
      </w:r>
    </w:p>
    <w:p w14:paraId="78CC69D8" w14:textId="77777777" w:rsidR="008F65FC" w:rsidRDefault="00000000">
      <w:pPr>
        <w:pStyle w:val="V-NumberedList1"/>
        <w:numPr>
          <w:ilvl w:val="0"/>
          <w:numId w:val="15"/>
        </w:numPr>
      </w:pPr>
      <w:r>
        <w:t>Provides written informed consent before any study-specific procedure.</w:t>
      </w:r>
    </w:p>
    <w:p w14:paraId="5505811F" w14:textId="77777777" w:rsidR="008F65FC" w:rsidRDefault="00000000">
      <w:pPr>
        <w:pStyle w:val="V-NumberedList1"/>
        <w:numPr>
          <w:ilvl w:val="0"/>
          <w:numId w:val="15"/>
        </w:numPr>
      </w:pPr>
      <w:r>
        <w:t>Is ≥ 18 years of age (or the local age of majority, whichever is older) at the time of consent.</w:t>
      </w:r>
    </w:p>
    <w:p w14:paraId="4F3773A1" w14:textId="77777777" w:rsidR="008F65FC" w:rsidRDefault="00000000">
      <w:pPr>
        <w:pStyle w:val="V-NumberedList1"/>
        <w:numPr>
          <w:ilvl w:val="0"/>
          <w:numId w:val="15"/>
        </w:numPr>
      </w:pPr>
      <w:r>
        <w:t>Has histologically confirmed persistent, recurrent, or metastatic disease that is not amenable to curative treatment with surgery or radiation.</w:t>
      </w:r>
    </w:p>
    <w:p w14:paraId="1D5BBA83" w14:textId="06A4872C" w:rsidR="008F65FC" w:rsidRDefault="00000000">
      <w:pPr>
        <w:pStyle w:val="V-NumberedList1"/>
        <w:numPr>
          <w:ilvl w:val="0"/>
          <w:numId w:val="15"/>
        </w:numPr>
      </w:pPr>
      <w:r>
        <w:t>Has received one prior line of systemic therapy for advanced or metastatic disease and has documented radiographic progression during or after that therapy; treatment given with curative intent in the localized setting does not count as a prior line.</w:t>
      </w:r>
    </w:p>
    <w:p w14:paraId="630EF0F4" w14:textId="77777777" w:rsidR="008F65FC" w:rsidRDefault="00000000">
      <w:pPr>
        <w:pStyle w:val="V-NumberedList1"/>
        <w:numPr>
          <w:ilvl w:val="0"/>
          <w:numId w:val="15"/>
        </w:numPr>
      </w:pPr>
      <w:r>
        <w:t>Has measurable disease per RECIST v1.1.</w:t>
      </w:r>
    </w:p>
    <w:p w14:paraId="4F3EB7C7" w14:textId="77777777" w:rsidR="008F65FC" w:rsidRDefault="00000000">
      <w:pPr>
        <w:pStyle w:val="V-NumberedList1"/>
        <w:numPr>
          <w:ilvl w:val="0"/>
          <w:numId w:val="15"/>
        </w:numPr>
      </w:pPr>
      <w:r>
        <w:t>Has an ECOG performance status of 0 or 1.</w:t>
      </w:r>
    </w:p>
    <w:p w14:paraId="341D1FCA" w14:textId="77777777" w:rsidR="008F65FC" w:rsidRDefault="00000000">
      <w:pPr>
        <w:pStyle w:val="V-NumberedList1"/>
        <w:numPr>
          <w:ilvl w:val="0"/>
          <w:numId w:val="15"/>
        </w:numPr>
      </w:pPr>
      <w:r>
        <w:t>Has a tumor sample available for biomarker assessment and consents to its use.</w:t>
      </w:r>
    </w:p>
    <w:p w14:paraId="5C5961B2" w14:textId="77777777" w:rsidR="008F65FC" w:rsidRDefault="00000000">
      <w:pPr>
        <w:pStyle w:val="V-NumberedList1"/>
        <w:numPr>
          <w:ilvl w:val="0"/>
          <w:numId w:val="15"/>
        </w:numPr>
      </w:pPr>
      <w:r>
        <w:t>Has adequate organ and bone marrow function within the protocol-specified window before randomization, defined by the following:</w:t>
      </w:r>
    </w:p>
    <w:p w14:paraId="007802A0" w14:textId="77777777" w:rsidR="00327122" w:rsidRDefault="00000000">
      <w:pPr>
        <w:pStyle w:val="V-NumberedList1"/>
        <w:numPr>
          <w:ilvl w:val="1"/>
          <w:numId w:val="15"/>
        </w:numPr>
      </w:pPr>
      <w:r>
        <w:t>Absolute neutrophil count ≥ 1.5 × 10⁹/L without granulocyte colony-stimulating factor (G-CSF) support within 7 days.</w:t>
      </w:r>
    </w:p>
    <w:p w14:paraId="007802A1" w14:textId="77777777" w:rsidR="00327122" w:rsidRDefault="00000000">
      <w:pPr>
        <w:pStyle w:val="V-NumberedList1"/>
        <w:numPr>
          <w:ilvl w:val="1"/>
          <w:numId w:val="15"/>
        </w:numPr>
      </w:pPr>
      <w:r>
        <w:t>Platelet count ≥ 100 × 10⁹/L without transfusion within the prior week.</w:t>
      </w:r>
    </w:p>
    <w:p w14:paraId="007802A2" w14:textId="77777777" w:rsidR="00327122" w:rsidRDefault="00000000">
      <w:pPr>
        <w:pStyle w:val="V-NumberedList1"/>
        <w:numPr>
          <w:ilvl w:val="1"/>
          <w:numId w:val="15"/>
        </w:numPr>
      </w:pPr>
      <w:r>
        <w:t>Hemoglobin ≥ 9 g/dL.</w:t>
      </w:r>
    </w:p>
    <w:p w14:paraId="007802A3" w14:textId="77777777" w:rsidR="00327122" w:rsidRDefault="00000000">
      <w:pPr>
        <w:pStyle w:val="V-NumberedList1"/>
        <w:numPr>
          <w:ilvl w:val="1"/>
          <w:numId w:val="15"/>
        </w:numPr>
      </w:pPr>
      <w:r>
        <w:t>Total bilirubin ≤ 1.5 × the upper limit of normal (ULN), except in Gilbert syndrome.</w:t>
      </w:r>
    </w:p>
    <w:p w14:paraId="007802A4" w14:textId="77777777" w:rsidR="00327122" w:rsidRDefault="00000000">
      <w:pPr>
        <w:pStyle w:val="V-NumberedList1"/>
        <w:numPr>
          <w:ilvl w:val="1"/>
          <w:numId w:val="15"/>
        </w:numPr>
      </w:pPr>
      <w:r>
        <w:lastRenderedPageBreak/>
        <w:t>Aspartate aminotransferase and alanine aminotransferase ≤ 3 × ULN (≤ 5 × ULN with liver metastases).</w:t>
      </w:r>
    </w:p>
    <w:p w14:paraId="007802A5" w14:textId="77777777" w:rsidR="00327122" w:rsidRDefault="00000000">
      <w:pPr>
        <w:pStyle w:val="V-NumberedList1"/>
        <w:numPr>
          <w:ilvl w:val="1"/>
          <w:numId w:val="15"/>
        </w:numPr>
      </w:pPr>
      <w:r>
        <w:t>Adequate renal function, met by either of the following:</w:t>
      </w:r>
    </w:p>
    <w:p w14:paraId="70E17D44" w14:textId="77777777" w:rsidR="00327122" w:rsidRDefault="00000000">
      <w:pPr>
        <w:pStyle w:val="V-NumberedList1"/>
        <w:numPr>
          <w:ilvl w:val="2"/>
          <w:numId w:val="15"/>
        </w:numPr>
      </w:pPr>
      <w:r>
        <w:t>serum creatinine ≤ 1.5 × ULN; or</w:t>
      </w:r>
    </w:p>
    <w:p w14:paraId="158F9BEE" w14:textId="77777777" w:rsidR="00327122" w:rsidRDefault="00000000">
      <w:pPr>
        <w:pStyle w:val="V-NumberedList1"/>
        <w:numPr>
          <w:ilvl w:val="2"/>
          <w:numId w:val="15"/>
        </w:numPr>
      </w:pPr>
      <w:r>
        <w:t>calculated creatinine clearance of ≥ 50 mL/min by the Cockcroft-Gault formula.</w:t>
      </w:r>
    </w:p>
    <w:p w14:paraId="415DC776" w14:textId="77777777" w:rsidR="00327122" w:rsidRDefault="00000000">
      <w:pPr>
        <w:pStyle w:val="V-NumberedList1"/>
        <w:numPr>
          <w:ilvl w:val="1"/>
          <w:numId w:val="15"/>
        </w:numPr>
      </w:pPr>
      <w:r>
        <w:t>International normalized ratio and activated partial thromboplastin time ≤ 1.5 × ULN, unless on stable anticoagulation.</w:t>
      </w:r>
    </w:p>
    <w:p w14:paraId="6C05D748" w14:textId="77777777" w:rsidR="008F65FC" w:rsidRDefault="00000000">
      <w:pPr>
        <w:pStyle w:val="V-NumberedList1"/>
        <w:numPr>
          <w:ilvl w:val="0"/>
          <w:numId w:val="15"/>
        </w:numPr>
      </w:pPr>
      <w:r>
        <w:t>If a woman of childbearing potential, has a negative serum pregnancy test before randomization and agrees to the contraception requirements in Section 5.6; if a man with a partner of childbearing potential, agrees to the contraception requirements in Section 5.6.</w:t>
      </w:r>
    </w:p>
    <w:p w14:paraId="3720DB65" w14:textId="77777777" w:rsidR="008F65FC" w:rsidRDefault="00000000">
      <w:pPr>
        <w:pStyle w:val="V-NumberedList1"/>
        <w:numPr>
          <w:ilvl w:val="0"/>
          <w:numId w:val="15"/>
        </w:numPr>
      </w:pPr>
      <w:r>
        <w:t>Is able and willing to comply with the protocol.</w:t>
      </w:r>
    </w:p>
    <w:p w14:paraId="028D7D4C" w14:textId="77777777" w:rsidR="008F65FC" w:rsidRDefault="00000000" w:rsidP="005552F9">
      <w:pPr>
        <w:pStyle w:val="V-heading2"/>
      </w:pPr>
      <w:bookmarkStart w:id="54" w:name="_Toc233801683"/>
      <w:r>
        <w:t>Exclusion Criteria</w:t>
      </w:r>
      <w:bookmarkEnd w:id="54"/>
    </w:p>
    <w:p w14:paraId="090C8AA7" w14:textId="77777777" w:rsidR="008F65FC" w:rsidRDefault="00000000">
      <w:pPr>
        <w:pStyle w:val="V-Guidance"/>
      </w:pPr>
      <w:r>
        <w:t>ICH M11 §5.3. State the conditions that disqualify a patient. Provide the set that matches the program.</w:t>
      </w:r>
    </w:p>
    <w:p w14:paraId="5340AC2D" w14:textId="0841F81D" w:rsidR="007F7D80" w:rsidRDefault="007F7D80" w:rsidP="007F7D80">
      <w:pPr>
        <w:pStyle w:val="V-BodyText"/>
      </w:pPr>
      <w:r>
        <w:t xml:space="preserve">To be eligible, an individual must not meet any of the following criteria: </w:t>
      </w:r>
    </w:p>
    <w:p w14:paraId="55410E68" w14:textId="60BD8842" w:rsidR="008F65FC" w:rsidRDefault="00000000" w:rsidP="007F7D80">
      <w:pPr>
        <w:pStyle w:val="V-NumberedList1"/>
        <w:numPr>
          <w:ilvl w:val="0"/>
          <w:numId w:val="50"/>
        </w:numPr>
      </w:pPr>
      <w:r>
        <w:t>Has received more than one prior line of systemic therapy for advanced or metastatic disease.</w:t>
      </w:r>
    </w:p>
    <w:p w14:paraId="3BD28266" w14:textId="77777777" w:rsidR="008F65FC" w:rsidRDefault="00000000">
      <w:pPr>
        <w:pStyle w:val="V-NumberedList1"/>
        <w:numPr>
          <w:ilvl w:val="0"/>
          <w:numId w:val="40"/>
        </w:numPr>
      </w:pPr>
      <w:r>
        <w:t>Has a known contraindication to platinum-based chemotherapy or to any planned combination agent.</w:t>
      </w:r>
    </w:p>
    <w:p w14:paraId="15E15BFF" w14:textId="77777777" w:rsidR="008F65FC" w:rsidRDefault="00000000">
      <w:pPr>
        <w:pStyle w:val="V-NumberedList1"/>
        <w:numPr>
          <w:ilvl w:val="0"/>
          <w:numId w:val="40"/>
        </w:numPr>
      </w:pPr>
      <w:r>
        <w:t>Has untreated or symptomatic central nervous system metastases; patients with treated, stable metastases off corticosteroids for the protocol-specified period are eligible.</w:t>
      </w:r>
    </w:p>
    <w:p w14:paraId="0193106B" w14:textId="77777777" w:rsidR="008F65FC" w:rsidRDefault="00000000">
      <w:pPr>
        <w:pStyle w:val="V-NumberedList1"/>
        <w:numPr>
          <w:ilvl w:val="0"/>
          <w:numId w:val="40"/>
        </w:numPr>
      </w:pPr>
      <w:r>
        <w:t>Has clinically significant or uncontrolled cardiovascular disease, or a corrected QT interval above the protocol-specified threshold.</w:t>
      </w:r>
    </w:p>
    <w:p w14:paraId="01E996FE" w14:textId="77777777" w:rsidR="008F65FC" w:rsidRDefault="00000000">
      <w:pPr>
        <w:pStyle w:val="V-NumberedList1"/>
        <w:numPr>
          <w:ilvl w:val="0"/>
          <w:numId w:val="40"/>
        </w:numPr>
      </w:pPr>
      <w:r>
        <w:t>Has an active infection requiring systemic therapy, or known human immunodeficiency virus infection or active hepatitis B or hepatitis C infection.</w:t>
      </w:r>
    </w:p>
    <w:p w14:paraId="795231A3" w14:textId="77777777" w:rsidR="008F65FC" w:rsidRDefault="00000000">
      <w:pPr>
        <w:pStyle w:val="V-NumberedList1"/>
        <w:numPr>
          <w:ilvl w:val="0"/>
          <w:numId w:val="40"/>
        </w:numPr>
      </w:pPr>
      <w:r>
        <w:t>Has a second malignancy that required treatment within the protocol-specified period, other than adequately treated in situ disease or another cancer treated with curative intent and without evidence of disease.</w:t>
      </w:r>
    </w:p>
    <w:p w14:paraId="61473BB9" w14:textId="77777777" w:rsidR="008F65FC" w:rsidRDefault="00000000">
      <w:pPr>
        <w:pStyle w:val="V-NumberedList1"/>
        <w:numPr>
          <w:ilvl w:val="0"/>
          <w:numId w:val="40"/>
        </w:numPr>
      </w:pPr>
      <w:r>
        <w:t>Has known hypersensitivity to DRUG‑123 or to any excipient of the formulation, or to the planned chemotherapy agents.</w:t>
      </w:r>
    </w:p>
    <w:p w14:paraId="04CB2351" w14:textId="77777777" w:rsidR="008F65FC" w:rsidRDefault="00000000">
      <w:pPr>
        <w:pStyle w:val="V-NumberedList1"/>
        <w:numPr>
          <w:ilvl w:val="0"/>
          <w:numId w:val="40"/>
        </w:numPr>
      </w:pPr>
      <w:r>
        <w:t>Has a condition requiring chronic systemic immunosuppression that, in the Investigator's judgment, would confound the safety assessment.</w:t>
      </w:r>
    </w:p>
    <w:p w14:paraId="00169E9D" w14:textId="77777777" w:rsidR="008F65FC" w:rsidRDefault="00000000">
      <w:pPr>
        <w:pStyle w:val="V-NumberedList1"/>
        <w:numPr>
          <w:ilvl w:val="0"/>
          <w:numId w:val="40"/>
        </w:numPr>
      </w:pPr>
      <w:r>
        <w:lastRenderedPageBreak/>
        <w:t>Is pregnant or breastfeeding.</w:t>
      </w:r>
    </w:p>
    <w:p w14:paraId="7ECFABBF" w14:textId="77777777" w:rsidR="008F65FC" w:rsidRDefault="00000000">
      <w:pPr>
        <w:pStyle w:val="V-NumberedList1"/>
        <w:numPr>
          <w:ilvl w:val="0"/>
          <w:numId w:val="40"/>
        </w:numPr>
      </w:pPr>
      <w:r>
        <w:t>Has any condition that, in the Investigator's judgment, would interfere with participation or with interpretation of the study results.</w:t>
      </w:r>
    </w:p>
    <w:p w14:paraId="4BF0650B" w14:textId="77777777" w:rsidR="008F65FC" w:rsidRDefault="00000000" w:rsidP="005552F9">
      <w:pPr>
        <w:pStyle w:val="V-heading2"/>
      </w:pPr>
      <w:bookmarkStart w:id="55" w:name="_Toc233801684"/>
      <w:r>
        <w:t>Lifestyle Restrictions</w:t>
      </w:r>
      <w:bookmarkEnd w:id="55"/>
    </w:p>
    <w:p w14:paraId="60612991" w14:textId="6AFC9C9D" w:rsidR="008F65FC" w:rsidRDefault="00000000">
      <w:pPr>
        <w:pStyle w:val="V-Guidance"/>
      </w:pPr>
      <w:r>
        <w:t xml:space="preserve">ICH M11 §5 (Study Population). State the lifestyle restrictions that apply during the study. </w:t>
      </w:r>
    </w:p>
    <w:p w14:paraId="0A847FF6" w14:textId="78112A65" w:rsidR="008F65FC" w:rsidRDefault="002201FC" w:rsidP="005552F9">
      <w:pPr>
        <w:pStyle w:val="V-heading3"/>
      </w:pPr>
      <w:r>
        <w:t>Meals and Dietary Restrictions</w:t>
      </w:r>
    </w:p>
    <w:p w14:paraId="0451C8DC" w14:textId="653AE19D" w:rsidR="002201FC" w:rsidRDefault="002201FC">
      <w:pPr>
        <w:pStyle w:val="V-Example"/>
      </w:pPr>
      <w:r>
        <w:t>Include restrictions here, if any.</w:t>
      </w:r>
    </w:p>
    <w:p w14:paraId="2EB1FC1D" w14:textId="1EEE35A1" w:rsidR="008F65FC" w:rsidRDefault="002201FC" w:rsidP="005552F9">
      <w:pPr>
        <w:pStyle w:val="V-heading3"/>
      </w:pPr>
      <w:r>
        <w:t>Fasting</w:t>
      </w:r>
    </w:p>
    <w:p w14:paraId="7D21AC9D" w14:textId="7827C376" w:rsidR="008F65FC" w:rsidRDefault="002201FC">
      <w:pPr>
        <w:pStyle w:val="V-Example"/>
      </w:pPr>
      <w:r>
        <w:t>Fasting conditions are required for study drug administration, see Section </w:t>
      </w:r>
      <w:r>
        <w:fldChar w:fldCharType="begin"/>
      </w:r>
      <w:r>
        <w:instrText xml:space="preserve"> REF _Ref233766270 \r \h </w:instrText>
      </w:r>
      <w:r>
        <w:fldChar w:fldCharType="separate"/>
      </w:r>
      <w:r w:rsidR="00272496" w:rsidRPr="00272496">
        <w:rPr>
          <w:color w:val="0000FF"/>
        </w:rPr>
        <w:t>6.1</w:t>
      </w:r>
      <w:r>
        <w:fldChar w:fldCharType="end"/>
      </w:r>
      <w:r>
        <w:t>.</w:t>
      </w:r>
    </w:p>
    <w:p w14:paraId="0FE7F933" w14:textId="4A3F7441" w:rsidR="008F65FC" w:rsidRDefault="002201FC" w:rsidP="005552F9">
      <w:pPr>
        <w:pStyle w:val="V-heading3"/>
      </w:pPr>
      <w:r>
        <w:t>Activity, Smoking, and Alcohol</w:t>
      </w:r>
    </w:p>
    <w:p w14:paraId="514FDE3C" w14:textId="400A5EDA" w:rsidR="008F65FC" w:rsidRDefault="00AA3039">
      <w:pPr>
        <w:pStyle w:val="V-Example"/>
      </w:pPr>
      <w:r>
        <w:t>No</w:t>
      </w:r>
      <w:r w:rsidR="002201FC">
        <w:t xml:space="preserve"> restrictions on physical activity are required. Smoking will not be permitted for participation in the study. Alcohol should not be consumed with the study treatment.</w:t>
      </w:r>
    </w:p>
    <w:p w14:paraId="000D934B" w14:textId="77777777" w:rsidR="008F65FC" w:rsidRDefault="00000000" w:rsidP="005552F9">
      <w:pPr>
        <w:pStyle w:val="V-heading2"/>
      </w:pPr>
      <w:bookmarkStart w:id="56" w:name="_Toc233801685"/>
      <w:r>
        <w:t>Screen Failure and Rescreening</w:t>
      </w:r>
      <w:bookmarkEnd w:id="56"/>
    </w:p>
    <w:p w14:paraId="23D86283" w14:textId="0BF0F5BB" w:rsidR="008F65FC" w:rsidRDefault="00000000">
      <w:pPr>
        <w:pStyle w:val="V-Example"/>
      </w:pPr>
      <w:r>
        <w:t>A patient who signs informed consent but is not randomized is a screen failure. A screen failure may be rescreened once if [these conditions are met]. Reasons for screen failure are recorded.</w:t>
      </w:r>
    </w:p>
    <w:p w14:paraId="3F481342" w14:textId="77777777" w:rsidR="008F65FC" w:rsidRDefault="00000000">
      <w:pPr>
        <w:pStyle w:val="V-heading1"/>
      </w:pPr>
      <w:bookmarkStart w:id="57" w:name="_Toc233801686"/>
      <w:r>
        <w:lastRenderedPageBreak/>
        <w:t>Study Intervention and Concomitant Therapy</w:t>
      </w:r>
      <w:bookmarkEnd w:id="57"/>
    </w:p>
    <w:p w14:paraId="4B17A005" w14:textId="77777777" w:rsidR="008F65FC" w:rsidRDefault="00000000" w:rsidP="005552F9">
      <w:pPr>
        <w:pStyle w:val="V-heading2"/>
      </w:pPr>
      <w:bookmarkStart w:id="58" w:name="_Ref233766270"/>
      <w:bookmarkStart w:id="59" w:name="_Toc233801687"/>
      <w:r>
        <w:t>Description of Investigational Study Intervention</w:t>
      </w:r>
      <w:bookmarkEnd w:id="58"/>
      <w:bookmarkEnd w:id="59"/>
    </w:p>
    <w:p w14:paraId="645C1CB6" w14:textId="0F224306" w:rsidR="008F65FC" w:rsidDel="002201FC" w:rsidRDefault="00000000" w:rsidP="00244AFC">
      <w:pPr>
        <w:pStyle w:val="V-Guidance"/>
      </w:pPr>
      <w:r>
        <w:t>ICH M11 §6.1. Describe the investigational product(s): formulation, strength, presentation, route, and (for a blinded study) the matching placebo. Summarize the study treatments in a table.</w:t>
      </w:r>
      <w:r w:rsidR="00E62252">
        <w:t xml:space="preserve"> Study treatment and study intervention are used interchangeably. </w:t>
      </w:r>
    </w:p>
    <w:p w14:paraId="692968B9" w14:textId="31F6B6F1" w:rsidR="002201FC" w:rsidRPr="00244AFC" w:rsidRDefault="002201FC" w:rsidP="00244AFC">
      <w:pPr>
        <w:pStyle w:val="V-BodyText"/>
      </w:pPr>
      <w:r w:rsidRPr="00244AFC">
        <w:t xml:space="preserve">Study intervention is summarized in </w:t>
      </w:r>
      <w:r w:rsidR="00E62252">
        <w:fldChar w:fldCharType="begin"/>
      </w:r>
      <w:r w:rsidR="00E62252">
        <w:instrText xml:space="preserve"> REF _Ref233797678 \h </w:instrText>
      </w:r>
      <w:r w:rsidR="00E62252">
        <w:fldChar w:fldCharType="separate"/>
      </w:r>
      <w:r w:rsidR="00272496" w:rsidRPr="00272496">
        <w:rPr>
          <w:color w:val="0000FF"/>
        </w:rPr>
        <w:t>Table </w:t>
      </w:r>
      <w:r w:rsidR="00272496" w:rsidRPr="00272496">
        <w:rPr>
          <w:noProof/>
          <w:color w:val="0000FF"/>
        </w:rPr>
        <w:t>5</w:t>
      </w:r>
      <w:r w:rsidR="00E62252">
        <w:fldChar w:fldCharType="end"/>
      </w:r>
      <w:r w:rsidR="00E62252">
        <w:t>.</w:t>
      </w:r>
    </w:p>
    <w:p w14:paraId="0574DDB0" w14:textId="1509230C" w:rsidR="00E62252" w:rsidRPr="00E62252" w:rsidRDefault="00E62252" w:rsidP="00E62252">
      <w:pPr>
        <w:pStyle w:val="Caption"/>
      </w:pPr>
      <w:bookmarkStart w:id="60" w:name="_Ref233766457"/>
      <w:bookmarkStart w:id="61" w:name="_Toc233620077"/>
      <w:bookmarkStart w:id="62" w:name="_Ref233797678"/>
      <w:bookmarkStart w:id="63" w:name="_Toc233801736"/>
      <w:bookmarkEnd w:id="60"/>
      <w:bookmarkEnd w:id="61"/>
      <w:r>
        <w:t>Table </w:t>
      </w:r>
      <w:r>
        <w:fldChar w:fldCharType="begin"/>
      </w:r>
      <w:r>
        <w:instrText xml:space="preserve"> SEQ Table \* ARABIC </w:instrText>
      </w:r>
      <w:r>
        <w:fldChar w:fldCharType="separate"/>
      </w:r>
      <w:r w:rsidR="00272496">
        <w:rPr>
          <w:noProof/>
        </w:rPr>
        <w:t>5</w:t>
      </w:r>
      <w:r>
        <w:fldChar w:fldCharType="end"/>
      </w:r>
      <w:bookmarkEnd w:id="62"/>
      <w:r>
        <w:t>:</w:t>
      </w:r>
      <w:r>
        <w:tab/>
        <w:t>Study Treatments</w:t>
      </w:r>
      <w:bookmarkEnd w:id="6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3740"/>
        <w:gridCol w:w="3452"/>
      </w:tblGrid>
      <w:tr w:rsidR="008F65FC" w14:paraId="110CE70A" w14:textId="77777777" w:rsidTr="00B57F24">
        <w:tc>
          <w:tcPr>
            <w:tcW w:w="1154" w:type="pct"/>
          </w:tcPr>
          <w:p w14:paraId="6C51F678" w14:textId="77777777" w:rsidR="008F65FC" w:rsidRDefault="00000000">
            <w:pPr>
              <w:pStyle w:val="V-tableheader"/>
            </w:pPr>
            <w:r>
              <w:t>Attribute</w:t>
            </w:r>
          </w:p>
        </w:tc>
        <w:tc>
          <w:tcPr>
            <w:tcW w:w="2000" w:type="pct"/>
          </w:tcPr>
          <w:p w14:paraId="1F6950CF" w14:textId="77777777" w:rsidR="008F65FC" w:rsidRDefault="00000000">
            <w:pPr>
              <w:pStyle w:val="V-tableheader"/>
            </w:pPr>
            <w:r>
              <w:t>DRUG‑123 (or matching placebo)</w:t>
            </w:r>
          </w:p>
        </w:tc>
        <w:tc>
          <w:tcPr>
            <w:tcW w:w="1846" w:type="pct"/>
          </w:tcPr>
          <w:p w14:paraId="264DC861" w14:textId="77777777" w:rsidR="008F65FC" w:rsidRDefault="00000000">
            <w:pPr>
              <w:pStyle w:val="V-tableheader"/>
            </w:pPr>
            <w:r>
              <w:t>Platinum-based chemotherapy</w:t>
            </w:r>
          </w:p>
        </w:tc>
      </w:tr>
      <w:tr w:rsidR="008F65FC" w14:paraId="23BABD8B" w14:textId="77777777" w:rsidTr="00B57F24">
        <w:tc>
          <w:tcPr>
            <w:tcW w:w="1154" w:type="pct"/>
          </w:tcPr>
          <w:p w14:paraId="37082E25" w14:textId="77777777" w:rsidR="008F65FC" w:rsidRDefault="00000000">
            <w:pPr>
              <w:pStyle w:val="V-tablerowheader"/>
            </w:pPr>
            <w:r>
              <w:t>Treatment Name</w:t>
            </w:r>
          </w:p>
        </w:tc>
        <w:tc>
          <w:tcPr>
            <w:tcW w:w="2000" w:type="pct"/>
          </w:tcPr>
          <w:p w14:paraId="1D195989" w14:textId="77777777" w:rsidR="008F65FC" w:rsidRDefault="00000000" w:rsidP="00244AFC">
            <w:pPr>
              <w:pStyle w:val="V-tablecellleft"/>
            </w:pPr>
            <w:r>
              <w:t>DRUG‑123 (and matching placebo)</w:t>
            </w:r>
          </w:p>
        </w:tc>
        <w:tc>
          <w:tcPr>
            <w:tcW w:w="1846" w:type="pct"/>
          </w:tcPr>
          <w:p w14:paraId="708CADFD" w14:textId="77777777" w:rsidR="008F65FC" w:rsidRDefault="00000000" w:rsidP="00244AFC">
            <w:pPr>
              <w:pStyle w:val="V-tablecellleft"/>
            </w:pPr>
            <w:r>
              <w:t>Platinum-based chemotherapy</w:t>
            </w:r>
          </w:p>
        </w:tc>
      </w:tr>
      <w:tr w:rsidR="008F65FC" w14:paraId="27FFD740" w14:textId="77777777" w:rsidTr="00B57F24">
        <w:tc>
          <w:tcPr>
            <w:tcW w:w="1154" w:type="pct"/>
          </w:tcPr>
          <w:p w14:paraId="5FFBBF37" w14:textId="77777777" w:rsidR="008F65FC" w:rsidRDefault="00000000">
            <w:pPr>
              <w:pStyle w:val="V-tablerowheader"/>
            </w:pPr>
            <w:r>
              <w:t>Type</w:t>
            </w:r>
          </w:p>
        </w:tc>
        <w:tc>
          <w:tcPr>
            <w:tcW w:w="2000" w:type="pct"/>
          </w:tcPr>
          <w:p w14:paraId="57E38801" w14:textId="77777777" w:rsidR="008F65FC" w:rsidRDefault="00000000" w:rsidP="00244AFC">
            <w:pPr>
              <w:pStyle w:val="V-tablecellleft"/>
            </w:pPr>
            <w:r>
              <w:t>Monoclonal antibody (and matching placebo)</w:t>
            </w:r>
          </w:p>
        </w:tc>
        <w:tc>
          <w:tcPr>
            <w:tcW w:w="1846" w:type="pct"/>
          </w:tcPr>
          <w:p w14:paraId="4EE58533" w14:textId="77777777" w:rsidR="008F65FC" w:rsidRDefault="00000000" w:rsidP="00244AFC">
            <w:pPr>
              <w:pStyle w:val="V-tablecellleft"/>
            </w:pPr>
            <w:r>
              <w:t>Cytotoxic chemotherapy</w:t>
            </w:r>
          </w:p>
        </w:tc>
      </w:tr>
      <w:tr w:rsidR="008F65FC" w14:paraId="44B0FB5E" w14:textId="77777777" w:rsidTr="00B57F24">
        <w:tc>
          <w:tcPr>
            <w:tcW w:w="1154" w:type="pct"/>
          </w:tcPr>
          <w:p w14:paraId="5633D283" w14:textId="77777777" w:rsidR="008F65FC" w:rsidRDefault="00000000">
            <w:pPr>
              <w:pStyle w:val="V-tablerowheader"/>
            </w:pPr>
            <w:r>
              <w:t>Dose Formulation</w:t>
            </w:r>
          </w:p>
        </w:tc>
        <w:tc>
          <w:tcPr>
            <w:tcW w:w="2000" w:type="pct"/>
          </w:tcPr>
          <w:p w14:paraId="1D1FD564" w14:textId="77777777" w:rsidR="008F65FC" w:rsidRDefault="00000000" w:rsidP="00244AFC">
            <w:pPr>
              <w:pStyle w:val="V-tablecellleft"/>
            </w:pPr>
            <w:r>
              <w:t>Solution for infusion (matching placebo: identical-appearing solution without active drug)</w:t>
            </w:r>
          </w:p>
        </w:tc>
        <w:tc>
          <w:tcPr>
            <w:tcW w:w="1846" w:type="pct"/>
          </w:tcPr>
          <w:p w14:paraId="694A2316" w14:textId="77777777" w:rsidR="008F65FC" w:rsidRDefault="00000000" w:rsidP="00244AFC">
            <w:pPr>
              <w:pStyle w:val="V-tablecellleft"/>
            </w:pPr>
            <w:r>
              <w:t>Per the product information for the selected agent</w:t>
            </w:r>
          </w:p>
        </w:tc>
      </w:tr>
      <w:tr w:rsidR="008F65FC" w14:paraId="758441CD" w14:textId="77777777" w:rsidTr="00B57F24">
        <w:tc>
          <w:tcPr>
            <w:tcW w:w="1154" w:type="pct"/>
          </w:tcPr>
          <w:p w14:paraId="5C30E0F3" w14:textId="77777777" w:rsidR="008F65FC" w:rsidRDefault="00000000">
            <w:pPr>
              <w:pStyle w:val="V-tablerowheader"/>
            </w:pPr>
            <w:r>
              <w:t>Unit Dose Strength(s)</w:t>
            </w:r>
          </w:p>
        </w:tc>
        <w:tc>
          <w:tcPr>
            <w:tcW w:w="2000" w:type="pct"/>
          </w:tcPr>
          <w:p w14:paraId="5A32C1F0" w14:textId="77777777" w:rsidR="008F65FC" w:rsidRDefault="00000000" w:rsidP="00244AFC">
            <w:pPr>
              <w:pStyle w:val="V-tablecellleft"/>
            </w:pPr>
            <w:r>
              <w:t>100 mg/4 mL (25 mg/mL)</w:t>
            </w:r>
          </w:p>
        </w:tc>
        <w:tc>
          <w:tcPr>
            <w:tcW w:w="1846" w:type="pct"/>
          </w:tcPr>
          <w:p w14:paraId="6846F119" w14:textId="20BD7930" w:rsidR="008F65FC" w:rsidRDefault="00000000" w:rsidP="00244AFC">
            <w:pPr>
              <w:pStyle w:val="V-tablecellleft"/>
            </w:pPr>
            <w:r>
              <w:t xml:space="preserve">Per the </w:t>
            </w:r>
            <w:r w:rsidR="00244AFC">
              <w:t>prescribing label</w:t>
            </w:r>
          </w:p>
        </w:tc>
      </w:tr>
      <w:tr w:rsidR="008F65FC" w14:paraId="0B9ED6BB" w14:textId="77777777" w:rsidTr="00B57F24">
        <w:tc>
          <w:tcPr>
            <w:tcW w:w="1154" w:type="pct"/>
          </w:tcPr>
          <w:p w14:paraId="049C2EEB" w14:textId="77777777" w:rsidR="008F65FC" w:rsidRDefault="00000000">
            <w:pPr>
              <w:pStyle w:val="V-tablerowheader"/>
            </w:pPr>
            <w:r>
              <w:t>Route of Administration</w:t>
            </w:r>
          </w:p>
        </w:tc>
        <w:tc>
          <w:tcPr>
            <w:tcW w:w="2000" w:type="pct"/>
          </w:tcPr>
          <w:p w14:paraId="76C090E2" w14:textId="77777777" w:rsidR="008F65FC" w:rsidRDefault="00000000" w:rsidP="00244AFC">
            <w:pPr>
              <w:pStyle w:val="V-tablecellleft"/>
            </w:pPr>
            <w:r>
              <w:t>Intravenous infusion</w:t>
            </w:r>
          </w:p>
        </w:tc>
        <w:tc>
          <w:tcPr>
            <w:tcW w:w="1846" w:type="pct"/>
          </w:tcPr>
          <w:p w14:paraId="5483320D" w14:textId="1FDEFCAF" w:rsidR="008F65FC" w:rsidRDefault="00000000" w:rsidP="00244AFC">
            <w:pPr>
              <w:pStyle w:val="V-tablecellleft"/>
            </w:pPr>
            <w:r>
              <w:t>Intravenous infusion</w:t>
            </w:r>
          </w:p>
        </w:tc>
      </w:tr>
      <w:tr w:rsidR="006843D9" w14:paraId="7684DF07" w14:textId="77777777" w:rsidTr="00B57F24">
        <w:tc>
          <w:tcPr>
            <w:tcW w:w="1154" w:type="pct"/>
          </w:tcPr>
          <w:p w14:paraId="4823F19E" w14:textId="77777777" w:rsidR="008F65FC" w:rsidRDefault="00000000">
            <w:pPr>
              <w:pStyle w:val="V-tablerowheader"/>
            </w:pPr>
            <w:r>
              <w:t>IMP / AxMP</w:t>
            </w:r>
          </w:p>
        </w:tc>
        <w:tc>
          <w:tcPr>
            <w:tcW w:w="2000" w:type="pct"/>
          </w:tcPr>
          <w:p w14:paraId="25F90C86" w14:textId="77777777" w:rsidR="008F65FC" w:rsidRDefault="00000000" w:rsidP="00244AFC">
            <w:pPr>
              <w:pStyle w:val="V-tablecellleft"/>
            </w:pPr>
            <w:r>
              <w:t>Investigational medicinal product (IMP)</w:t>
            </w:r>
          </w:p>
        </w:tc>
        <w:tc>
          <w:tcPr>
            <w:tcW w:w="1846" w:type="pct"/>
          </w:tcPr>
          <w:p w14:paraId="5E622727" w14:textId="77777777" w:rsidR="008F65FC" w:rsidRDefault="00000000" w:rsidP="00244AFC">
            <w:pPr>
              <w:pStyle w:val="V-tablecellleft"/>
            </w:pPr>
            <w:r>
              <w:t>Auxiliary medicinal product (AxMP)</w:t>
            </w:r>
          </w:p>
        </w:tc>
      </w:tr>
      <w:tr w:rsidR="006843D9" w14:paraId="4A35AC2F" w14:textId="77777777" w:rsidTr="00B57F24">
        <w:tc>
          <w:tcPr>
            <w:tcW w:w="1154" w:type="pct"/>
          </w:tcPr>
          <w:p w14:paraId="626D03E8" w14:textId="77777777" w:rsidR="008F65FC" w:rsidRDefault="00000000">
            <w:pPr>
              <w:pStyle w:val="V-tablerowheader"/>
            </w:pPr>
            <w:r>
              <w:t>Current and Former Name(s) / Alias</w:t>
            </w:r>
          </w:p>
        </w:tc>
        <w:tc>
          <w:tcPr>
            <w:tcW w:w="2000" w:type="pct"/>
          </w:tcPr>
          <w:p w14:paraId="0B3BB892" w14:textId="77777777" w:rsidR="008F65FC" w:rsidRDefault="00000000" w:rsidP="00244AFC">
            <w:pPr>
              <w:pStyle w:val="V-tablecellleft"/>
            </w:pPr>
            <w:r>
              <w:t>DRUG‑123 (development code); no former names</w:t>
            </w:r>
          </w:p>
        </w:tc>
        <w:tc>
          <w:tcPr>
            <w:tcW w:w="1846" w:type="pct"/>
          </w:tcPr>
          <w:p w14:paraId="0D2471FD" w14:textId="77777777" w:rsidR="008F65FC" w:rsidRDefault="00000000" w:rsidP="00244AFC">
            <w:pPr>
              <w:pStyle w:val="V-tablecellleft"/>
            </w:pPr>
            <w:r>
              <w:t>Per the applicable label</w:t>
            </w:r>
          </w:p>
        </w:tc>
      </w:tr>
      <w:tr w:rsidR="006843D9" w14:paraId="32A66F61" w14:textId="77777777" w:rsidTr="00B57F24">
        <w:tc>
          <w:tcPr>
            <w:tcW w:w="1154" w:type="pct"/>
          </w:tcPr>
          <w:p w14:paraId="081B6689" w14:textId="77777777" w:rsidR="008F65FC" w:rsidRDefault="00000000">
            <w:pPr>
              <w:pStyle w:val="V-tablerowheader"/>
            </w:pPr>
            <w:r>
              <w:t>Dosing Instructions</w:t>
            </w:r>
          </w:p>
        </w:tc>
        <w:tc>
          <w:tcPr>
            <w:tcW w:w="2000" w:type="pct"/>
          </w:tcPr>
          <w:p w14:paraId="1E3958FC" w14:textId="77777777" w:rsidR="008F65FC" w:rsidRDefault="00000000" w:rsidP="00244AFC">
            <w:pPr>
              <w:pStyle w:val="V-tablecellleft"/>
            </w:pPr>
            <w:r>
              <w:t>Administered at the protocol-specified dose and schedule; prepared and administered per the pharmacy manual; blinding maintained.</w:t>
            </w:r>
          </w:p>
        </w:tc>
        <w:tc>
          <w:tcPr>
            <w:tcW w:w="1846" w:type="pct"/>
          </w:tcPr>
          <w:p w14:paraId="19176C67" w14:textId="77777777" w:rsidR="008F65FC" w:rsidRDefault="00000000" w:rsidP="00244AFC">
            <w:pPr>
              <w:pStyle w:val="V-tablecellleft"/>
            </w:pPr>
            <w:r>
              <w:t>Administered per the applicable label and institutional standards.</w:t>
            </w:r>
          </w:p>
        </w:tc>
      </w:tr>
      <w:tr w:rsidR="006843D9" w14:paraId="63AEFFD5" w14:textId="77777777" w:rsidTr="00B57F24">
        <w:tc>
          <w:tcPr>
            <w:tcW w:w="1154" w:type="pct"/>
          </w:tcPr>
          <w:p w14:paraId="360BAC6A" w14:textId="77777777" w:rsidR="008F65FC" w:rsidRDefault="00000000">
            <w:pPr>
              <w:pStyle w:val="V-tablerowheader"/>
            </w:pPr>
            <w:r>
              <w:t>Packaging and Labeling</w:t>
            </w:r>
          </w:p>
        </w:tc>
        <w:tc>
          <w:tcPr>
            <w:tcW w:w="2000" w:type="pct"/>
          </w:tcPr>
          <w:p w14:paraId="78E21F9E" w14:textId="77777777" w:rsidR="008F65FC" w:rsidRDefault="00000000" w:rsidP="00244AFC">
            <w:pPr>
              <w:pStyle w:val="V-tablecellleft"/>
            </w:pPr>
            <w:r>
              <w:t>Supplied by the Sponsor; packaged and labeled per applicable regulatory requirements and the study randomization and blinding scheme.</w:t>
            </w:r>
          </w:p>
        </w:tc>
        <w:tc>
          <w:tcPr>
            <w:tcW w:w="1846" w:type="pct"/>
          </w:tcPr>
          <w:p w14:paraId="15E3EAAF" w14:textId="77777777" w:rsidR="008F65FC" w:rsidRDefault="00000000" w:rsidP="00244AFC">
            <w:pPr>
              <w:pStyle w:val="V-tablecellleft"/>
            </w:pPr>
            <w:r>
              <w:t>Sourced per the study supply plan; labeled per applicable regulatory requirements.</w:t>
            </w:r>
          </w:p>
        </w:tc>
      </w:tr>
    </w:tbl>
    <w:p w14:paraId="7959790A" w14:textId="77777777" w:rsidR="008F65FC" w:rsidRDefault="00000000" w:rsidP="005552F9">
      <w:pPr>
        <w:pStyle w:val="V-heading2"/>
      </w:pPr>
      <w:bookmarkStart w:id="64" w:name="_Toc233801688"/>
      <w:r>
        <w:t>Preparation, Storage, Handling and Accountability</w:t>
      </w:r>
      <w:bookmarkEnd w:id="64"/>
    </w:p>
    <w:p w14:paraId="78856745" w14:textId="77777777" w:rsidR="008F65FC" w:rsidRDefault="00000000">
      <w:pPr>
        <w:pStyle w:val="V-Example"/>
      </w:pPr>
      <w:r>
        <w:t>Study treatment is prepared, stored, and handled per the pharmacy manual, and accountability is maintained per ICH E6(R3) and applicable regulation.</w:t>
      </w:r>
    </w:p>
    <w:p w14:paraId="30D7BED3" w14:textId="3E3D36CB" w:rsidR="008F65FC" w:rsidRDefault="00000000" w:rsidP="005552F9">
      <w:pPr>
        <w:pStyle w:val="V-heading2"/>
      </w:pPr>
      <w:bookmarkStart w:id="65" w:name="_Toc233801689"/>
      <w:r>
        <w:t>Assignment</w:t>
      </w:r>
      <w:r w:rsidR="002201FC">
        <w:t xml:space="preserve"> to Study Intervention</w:t>
      </w:r>
      <w:r>
        <w:t>, Randomization</w:t>
      </w:r>
      <w:r w:rsidR="002201FC">
        <w:t>,</w:t>
      </w:r>
      <w:r>
        <w:t xml:space="preserve"> and Blinding</w:t>
      </w:r>
      <w:bookmarkEnd w:id="65"/>
    </w:p>
    <w:p w14:paraId="26CBCFC3" w14:textId="55EAB40D" w:rsidR="002201FC" w:rsidRDefault="002201FC" w:rsidP="002201FC">
      <w:pPr>
        <w:pStyle w:val="V-Guidance"/>
      </w:pPr>
      <w:r>
        <w:t>Include measure to minimize bias.</w:t>
      </w:r>
    </w:p>
    <w:p w14:paraId="05294956" w14:textId="77777777" w:rsidR="008F65FC" w:rsidRDefault="00000000">
      <w:pPr>
        <w:pStyle w:val="V-Example"/>
      </w:pPr>
      <w:r>
        <w:t xml:space="preserve">Eligible patients are randomized 1:1 through the interactive response technology system, stratified by metastatic disease at diagnosis, planned anti-angiogenic use, and biomarker </w:t>
      </w:r>
      <w:r>
        <w:lastRenderedPageBreak/>
        <w:t>expression level. The patient, the Investigator, and the Sponsor are blinded. Procedures for emergency unblinding are defined in the protocol.</w:t>
      </w:r>
    </w:p>
    <w:p w14:paraId="651CF270" w14:textId="2C5B8A38" w:rsidR="002201FC" w:rsidRDefault="002201FC" w:rsidP="002201FC">
      <w:pPr>
        <w:pStyle w:val="V-heading2"/>
      </w:pPr>
      <w:bookmarkStart w:id="66" w:name="_Toc233801690"/>
      <w:r>
        <w:t>Study Intervention Compliance</w:t>
      </w:r>
      <w:bookmarkEnd w:id="66"/>
    </w:p>
    <w:p w14:paraId="228DAC13" w14:textId="77777777" w:rsidR="002201FC" w:rsidRDefault="002201FC" w:rsidP="002201FC">
      <w:pPr>
        <w:pStyle w:val="V-Guidance"/>
      </w:pPr>
      <w:r>
        <w:t>Include measure to minimize bias.</w:t>
      </w:r>
    </w:p>
    <w:p w14:paraId="3BB7EC88" w14:textId="1A014E72" w:rsidR="002201FC" w:rsidRDefault="00E62252">
      <w:pPr>
        <w:pStyle w:val="V-Example"/>
      </w:pPr>
      <w:r>
        <w:t>For compliance, patients will be given a dosing diary for the study drug on Cycle 1 Day 1 for recording of study drug administration, along with instructions for use. Patients will be instructed to bring the dosing diary and any unused tablets to every visit for study drug reconciliation.</w:t>
      </w:r>
    </w:p>
    <w:p w14:paraId="11ACC9AA" w14:textId="04C9B128" w:rsidR="002201FC" w:rsidRDefault="002201FC" w:rsidP="002201FC">
      <w:pPr>
        <w:pStyle w:val="V-heading2"/>
      </w:pPr>
      <w:bookmarkStart w:id="67" w:name="_Ref233796023"/>
      <w:bookmarkStart w:id="68" w:name="_Toc233801691"/>
      <w:r>
        <w:t>Dose Modification</w:t>
      </w:r>
      <w:bookmarkEnd w:id="67"/>
      <w:bookmarkEnd w:id="68"/>
    </w:p>
    <w:p w14:paraId="2CC12845" w14:textId="77777777" w:rsidR="002201FC" w:rsidRDefault="002201FC" w:rsidP="002201FC">
      <w:pPr>
        <w:pStyle w:val="V-Guidance"/>
      </w:pPr>
      <w:r>
        <w:t>ICH M11 §6.4. State dose-reduction, interruption, and re-escalation rules by toxicity type and grade. For a combination, specify which agent is modified for each toxicity.</w:t>
      </w:r>
    </w:p>
    <w:p w14:paraId="793491AD" w14:textId="77777777" w:rsidR="002201FC" w:rsidRDefault="002201FC" w:rsidP="002201FC">
      <w:pPr>
        <w:pStyle w:val="V-Example"/>
      </w:pPr>
      <w:r>
        <w:t>DRUG‑123 or placebo and the chemotherapy are modified independently by adverse-event type and CTCAE grade, with dose interruption, dose reduction to protocol-specified levels, and criteria for permanent discontinuation. To maintain the blind, DRUG‑123 and matching placebo are modified by the same rules.</w:t>
      </w:r>
    </w:p>
    <w:p w14:paraId="4A7B9EDF" w14:textId="78186336" w:rsidR="0039590A" w:rsidRDefault="0039590A" w:rsidP="0039590A">
      <w:pPr>
        <w:pStyle w:val="V-heading2"/>
      </w:pPr>
      <w:bookmarkStart w:id="69" w:name="_Toc233801692"/>
      <w:r>
        <w:t>Treatment Overdose</w:t>
      </w:r>
      <w:bookmarkEnd w:id="69"/>
    </w:p>
    <w:p w14:paraId="71C35E77" w14:textId="77777777" w:rsidR="0039590A" w:rsidRDefault="0039590A" w:rsidP="002201FC">
      <w:pPr>
        <w:pStyle w:val="V-Example"/>
      </w:pPr>
      <w:r>
        <w:t>For this study, any dose of study treatment greater than the assigned dose is considered an overdose. The Sponsor recommends symptomatic treatment; there is no specific antidote. In the event of an overdose, the Investigator should evaluate the patient, in consultation with the Medical Monitor, for whether to interrupt or reduce dosing; monitor the patient closely for adverse events, serious adverse events, and laboratory abnormalities at least until the next scheduled follow-up; and report the overdose as a special situation event.</w:t>
      </w:r>
    </w:p>
    <w:p w14:paraId="6632C688" w14:textId="6BB1FF18" w:rsidR="002201FC" w:rsidRDefault="002201FC" w:rsidP="002201FC">
      <w:pPr>
        <w:pStyle w:val="V-heading2"/>
      </w:pPr>
      <w:bookmarkStart w:id="70" w:name="_Toc233801693"/>
      <w:r>
        <w:t>Prior and Concomitant Therapy</w:t>
      </w:r>
      <w:bookmarkEnd w:id="70"/>
    </w:p>
    <w:p w14:paraId="44F74139" w14:textId="77777777" w:rsidR="002201FC" w:rsidRDefault="002201FC" w:rsidP="002201FC">
      <w:pPr>
        <w:pStyle w:val="V-Guidance"/>
      </w:pPr>
      <w:r>
        <w:t>ICH M11 §6.10. State prohibited and permitted concomitant therapy.</w:t>
      </w:r>
    </w:p>
    <w:p w14:paraId="4B997A6D" w14:textId="77777777" w:rsidR="008F65FC" w:rsidRDefault="00000000">
      <w:pPr>
        <w:pStyle w:val="V-Example"/>
      </w:pPr>
      <w:r>
        <w:t>Medications that start before the first dose of study treatment are prior medications; medications that start on or after the first dose, or start before and continue after the first dose, are concomitant medications. A medication can be both a prior and a concomitant medication.</w:t>
      </w:r>
    </w:p>
    <w:p w14:paraId="59FA7E97" w14:textId="77777777" w:rsidR="008F65FC" w:rsidRDefault="00000000">
      <w:pPr>
        <w:pStyle w:val="V-Example"/>
      </w:pPr>
      <w:r>
        <w:t>Patients receiving concomitant medications should not change them within 7 days before the first dose or during the study. Moderate or strong CYP3A4 inhibitors and inducers are not allowed within 14 days or 5 half-lives (whichever is longer) before the first dose and during treatment. Patients who start a moderate or strong CYP3A4, CYP2C8, and/or CYP2C9 inhibitor or inducer during the study will discontinue study treatment (Section 7.1).</w:t>
      </w:r>
    </w:p>
    <w:p w14:paraId="79D73C45" w14:textId="77777777" w:rsidR="008F65FC" w:rsidRDefault="00000000" w:rsidP="005552F9">
      <w:pPr>
        <w:pStyle w:val="V-heading3"/>
      </w:pPr>
      <w:r>
        <w:lastRenderedPageBreak/>
        <w:t>Prior Treatments</w:t>
      </w:r>
    </w:p>
    <w:p w14:paraId="513025F7" w14:textId="77777777" w:rsidR="008F65FC" w:rsidRDefault="00000000">
      <w:pPr>
        <w:pStyle w:val="V-Example"/>
      </w:pPr>
      <w:r>
        <w:t>All prescription medications the patient reports taking during the 30 calendar days before Screening, and during Screening, are recorded in the eCRF as prior medications.</w:t>
      </w:r>
    </w:p>
    <w:p w14:paraId="3F2D5B28" w14:textId="77777777" w:rsidR="008F65FC" w:rsidRDefault="00000000" w:rsidP="005552F9">
      <w:pPr>
        <w:pStyle w:val="V-heading3"/>
      </w:pPr>
      <w:r>
        <w:t>Concomitant Treatment</w:t>
      </w:r>
    </w:p>
    <w:p w14:paraId="4A0EF2FC" w14:textId="77777777" w:rsidR="008F65FC" w:rsidRDefault="00000000">
      <w:pPr>
        <w:pStyle w:val="V-Example"/>
      </w:pPr>
      <w:r>
        <w:t>Any medication or vaccine (including over-the-counter or prescription medicines, recreational drugs, vitamins, and/or herbal supplements) the patient is receiving at enrollment or during the study is recorded. The following are captured for each:</w:t>
      </w:r>
    </w:p>
    <w:p w14:paraId="6CB30E03" w14:textId="77777777" w:rsidR="008F65FC" w:rsidRDefault="00000000">
      <w:pPr>
        <w:pStyle w:val="V-BulletList1"/>
      </w:pPr>
      <w:r>
        <w:t>Reason for use;</w:t>
      </w:r>
    </w:p>
    <w:p w14:paraId="3A8C8524" w14:textId="77777777" w:rsidR="008F65FC" w:rsidRDefault="00000000">
      <w:pPr>
        <w:pStyle w:val="V-BulletList1"/>
      </w:pPr>
      <w:r>
        <w:t>Dates of administration, including start and end dates;</w:t>
      </w:r>
    </w:p>
    <w:p w14:paraId="3BDC7684" w14:textId="77777777" w:rsidR="008F65FC" w:rsidRDefault="00000000">
      <w:pPr>
        <w:pStyle w:val="V-BulletList1"/>
      </w:pPr>
      <w:r>
        <w:t>Dosage, including dose and frequency.</w:t>
      </w:r>
    </w:p>
    <w:p w14:paraId="13BB87E3" w14:textId="77777777" w:rsidR="008F65FC" w:rsidRDefault="00000000">
      <w:pPr>
        <w:pStyle w:val="V-Example"/>
      </w:pPr>
      <w:r>
        <w:t>The Medical Monitor should be contacted with any question regarding concomitant or prior therapy. Any medication or therapy taken during the study is recorded in the eCRF.</w:t>
      </w:r>
    </w:p>
    <w:p w14:paraId="7ABB2634" w14:textId="3FBDE537" w:rsidR="0039590A" w:rsidRPr="0039590A" w:rsidRDefault="0039590A" w:rsidP="0039590A">
      <w:pPr>
        <w:pStyle w:val="V-heading4"/>
      </w:pPr>
      <w:r>
        <w:t>Prohibited Concomitant Therapy</w:t>
      </w:r>
    </w:p>
    <w:p w14:paraId="1C58D274" w14:textId="77777777" w:rsidR="008F65FC" w:rsidRDefault="00000000">
      <w:pPr>
        <w:pStyle w:val="V-Example"/>
      </w:pPr>
      <w:r>
        <w:t>No moderate or strong inducers and/or inhibitors of CYP enzymes are allowed. For a representative list, see Appendix 3. The following are prohibited:</w:t>
      </w:r>
    </w:p>
    <w:p w14:paraId="168E6E74" w14:textId="77777777" w:rsidR="008F65FC" w:rsidRDefault="00000000">
      <w:pPr>
        <w:pStyle w:val="V-BulletList1"/>
      </w:pPr>
      <w:r>
        <w:t>Strong and moderate inhibitors of CYP3A4/5, CYP2C8, and CYP2C9;</w:t>
      </w:r>
    </w:p>
    <w:p w14:paraId="71302876" w14:textId="77777777" w:rsidR="008F65FC" w:rsidRDefault="00000000">
      <w:pPr>
        <w:pStyle w:val="V-BulletList1"/>
      </w:pPr>
      <w:r>
        <w:t>Strong and moderate inducers of CYP3A4/5, CYP2C8, and CYP2C9;</w:t>
      </w:r>
    </w:p>
    <w:p w14:paraId="5F8D2C47" w14:textId="77777777" w:rsidR="008F65FC" w:rsidRDefault="00000000">
      <w:pPr>
        <w:pStyle w:val="V-BulletList1"/>
      </w:pPr>
      <w:r>
        <w:t>Live attenuated vaccines within 4 weeks before the first dose and during the study.</w:t>
      </w:r>
    </w:p>
    <w:p w14:paraId="45E891E9" w14:textId="77777777" w:rsidR="0039590A" w:rsidRPr="0039590A" w:rsidRDefault="0039590A" w:rsidP="0039590A">
      <w:pPr>
        <w:pStyle w:val="V-heading4"/>
      </w:pPr>
      <w:r>
        <w:t>Permitted Concomitant Therapy</w:t>
      </w:r>
    </w:p>
    <w:p w14:paraId="063263A0" w14:textId="77777777" w:rsidR="008F65FC" w:rsidRDefault="00000000">
      <w:pPr>
        <w:pStyle w:val="V-Example"/>
      </w:pPr>
      <w:r>
        <w:t>Supportive care and the standard treatment of adverse events are permitted per institutional guidelines, provided they are not otherwise prohibited. Medications required for the platinum-based chemotherapy backbone are administered per the applicable label.</w:t>
      </w:r>
    </w:p>
    <w:p w14:paraId="07A2636A" w14:textId="77777777" w:rsidR="008F65FC" w:rsidRDefault="00000000">
      <w:pPr>
        <w:pStyle w:val="V-heading1"/>
      </w:pPr>
      <w:bookmarkStart w:id="71" w:name="_Toc233801694"/>
      <w:r>
        <w:lastRenderedPageBreak/>
        <w:t>Discontinuation of Study Intervention and Patient Withdrawal</w:t>
      </w:r>
      <w:bookmarkEnd w:id="71"/>
    </w:p>
    <w:p w14:paraId="7BCC9333" w14:textId="77777777" w:rsidR="008F65FC" w:rsidRDefault="00000000">
      <w:pPr>
        <w:pStyle w:val="V-Guidance"/>
      </w:pPr>
      <w:r>
        <w:t>ICH M11 §7. Distinguish discontinuation of study intervention from withdrawal from the study; data collection continues where consent allows.</w:t>
      </w:r>
    </w:p>
    <w:p w14:paraId="7238067B" w14:textId="77777777" w:rsidR="008F65FC" w:rsidRDefault="00000000" w:rsidP="005552F9">
      <w:pPr>
        <w:pStyle w:val="V-heading2"/>
      </w:pPr>
      <w:bookmarkStart w:id="72" w:name="_Toc233801695"/>
      <w:r>
        <w:t>Discontinuation of Study Intervention</w:t>
      </w:r>
      <w:bookmarkEnd w:id="72"/>
    </w:p>
    <w:p w14:paraId="6A5D9FBB" w14:textId="77777777" w:rsidR="008F65FC" w:rsidRDefault="00000000">
      <w:pPr>
        <w:pStyle w:val="V-Guidance"/>
      </w:pPr>
      <w:r>
        <w:t>List the criteria for permanent discontinuation of study intervention as a bulleted list. The criteria below are modeled on the study design.</w:t>
      </w:r>
    </w:p>
    <w:p w14:paraId="24C5BD4D" w14:textId="77777777" w:rsidR="008F65FC" w:rsidRDefault="00000000">
      <w:pPr>
        <w:pStyle w:val="V-Example"/>
      </w:pPr>
      <w:r>
        <w:t>Study intervention (DRUG‑123 or matching placebo) is permanently discontinued for any of the following:</w:t>
      </w:r>
    </w:p>
    <w:p w14:paraId="5624ABA5" w14:textId="77777777" w:rsidR="008F65FC" w:rsidRDefault="00000000">
      <w:pPr>
        <w:pStyle w:val="V-BulletList1"/>
      </w:pPr>
      <w:r>
        <w:t>Documented disease progression per RECIST v1.1, unless the patient is judged to be deriving clinical benefit and continued treatment is permitted by the protocol.</w:t>
      </w:r>
    </w:p>
    <w:p w14:paraId="6B45F5A1" w14:textId="77777777" w:rsidR="008F65FC" w:rsidRDefault="00000000">
      <w:pPr>
        <w:pStyle w:val="V-BulletList1"/>
      </w:pPr>
      <w:r>
        <w:t>Unacceptable toxicity, including an adverse event meeting the protocol-defined discontinuation threshold.</w:t>
      </w:r>
    </w:p>
    <w:p w14:paraId="75ED013E" w14:textId="77777777" w:rsidR="008F65FC" w:rsidRDefault="00000000">
      <w:pPr>
        <w:pStyle w:val="V-BulletList1"/>
      </w:pPr>
      <w:r>
        <w:t>A dose interruption that exceeds the protocol-specified maximum duration.</w:t>
      </w:r>
    </w:p>
    <w:p w14:paraId="2055ACF9" w14:textId="77777777" w:rsidR="008F65FC" w:rsidRDefault="00000000">
      <w:pPr>
        <w:pStyle w:val="V-BulletList1"/>
      </w:pPr>
      <w:r>
        <w:t>Pregnancy, or intention to become pregnant, in a patient.</w:t>
      </w:r>
    </w:p>
    <w:p w14:paraId="11D99344" w14:textId="77777777" w:rsidR="008F65FC" w:rsidRDefault="00000000">
      <w:pPr>
        <w:pStyle w:val="V-BulletList1"/>
      </w:pPr>
      <w:r>
        <w:t>Intercurrent illness or a change in condition that, in the Investigator's judgment, prevents further treatment.</w:t>
      </w:r>
    </w:p>
    <w:p w14:paraId="62F36421" w14:textId="77777777" w:rsidR="008F65FC" w:rsidRDefault="00000000">
      <w:pPr>
        <w:pStyle w:val="V-BulletList1"/>
      </w:pPr>
      <w:r>
        <w:t>Use of a prohibited concomitant therapy that, in the Investigator's judgment, precludes continued treatment.</w:t>
      </w:r>
    </w:p>
    <w:p w14:paraId="2E552A52" w14:textId="77777777" w:rsidR="008F65FC" w:rsidRDefault="00000000">
      <w:pPr>
        <w:pStyle w:val="V-BulletList1"/>
      </w:pPr>
      <w:r>
        <w:t>Patient request to stop study intervention, or withdrawal of consent for treatment.</w:t>
      </w:r>
    </w:p>
    <w:p w14:paraId="14454796" w14:textId="77777777" w:rsidR="008F65FC" w:rsidRDefault="00000000">
      <w:pPr>
        <w:pStyle w:val="V-BulletList1"/>
      </w:pPr>
      <w:r>
        <w:t>Investigator decision that discontinuation is in the patient's best interest.</w:t>
      </w:r>
    </w:p>
    <w:p w14:paraId="40D7F705" w14:textId="77777777" w:rsidR="008F65FC" w:rsidRDefault="00000000">
      <w:pPr>
        <w:pStyle w:val="V-BulletList1"/>
      </w:pPr>
      <w:r>
        <w:t>Sponsor termination of the study or the relevant cohort.</w:t>
      </w:r>
    </w:p>
    <w:p w14:paraId="382C5721" w14:textId="77777777" w:rsidR="008F65FC" w:rsidRDefault="00000000">
      <w:pPr>
        <w:pStyle w:val="V-Example"/>
      </w:pPr>
      <w:r>
        <w:t>A patient who discontinues study intervention continues in disease and survival follow-up per the Schedule of Activities unless consent is withdrawn.</w:t>
      </w:r>
    </w:p>
    <w:p w14:paraId="18175E70" w14:textId="77777777" w:rsidR="008F65FC" w:rsidRDefault="00000000" w:rsidP="005552F9">
      <w:pPr>
        <w:pStyle w:val="V-heading2"/>
      </w:pPr>
      <w:bookmarkStart w:id="73" w:name="_Toc233801696"/>
      <w:r>
        <w:t>Patient Withdrawal From the Study</w:t>
      </w:r>
      <w:bookmarkEnd w:id="73"/>
    </w:p>
    <w:p w14:paraId="538EB32C" w14:textId="77777777" w:rsidR="008F65FC" w:rsidRDefault="00000000">
      <w:pPr>
        <w:pStyle w:val="V-Example"/>
      </w:pPr>
      <w:r>
        <w:t>A patient may withdraw consent at any time without penalty or loss of benefits. The reason for withdrawal is recorded where provided. Data collected before withdrawal are retained and used in the analyses unless the patient withdraws consent for use of already-collected data, subject to applicable law.</w:t>
      </w:r>
    </w:p>
    <w:p w14:paraId="247C7993" w14:textId="77777777" w:rsidR="008F65FC" w:rsidRDefault="00000000" w:rsidP="005552F9">
      <w:pPr>
        <w:pStyle w:val="V-heading2"/>
      </w:pPr>
      <w:bookmarkStart w:id="74" w:name="_Toc233801697"/>
      <w:r>
        <w:t>Management of Loss to Follow-Up</w:t>
      </w:r>
      <w:bookmarkEnd w:id="74"/>
    </w:p>
    <w:p w14:paraId="5650C708" w14:textId="77777777" w:rsidR="008F65FC" w:rsidRDefault="00000000">
      <w:pPr>
        <w:pStyle w:val="V-Example"/>
      </w:pPr>
      <w:r>
        <w:t xml:space="preserve">Sites make and document repeated attempts to contact patients who miss visits, including the protocol-specified number of telephone calls and a written contact. A patient is considered lost </w:t>
      </w:r>
      <w:r>
        <w:lastRenderedPageBreak/>
        <w:t>to follow-up only after these attempts are exhausted, and the date last known to be alive is recorded for the survival analysis.</w:t>
      </w:r>
    </w:p>
    <w:p w14:paraId="73F05472" w14:textId="77777777" w:rsidR="008F65FC" w:rsidRDefault="00000000">
      <w:pPr>
        <w:pStyle w:val="V-heading1"/>
      </w:pPr>
      <w:bookmarkStart w:id="75" w:name="_Toc233801698"/>
      <w:r>
        <w:lastRenderedPageBreak/>
        <w:t>Study Assessments and Procedures</w:t>
      </w:r>
      <w:bookmarkEnd w:id="75"/>
    </w:p>
    <w:p w14:paraId="65E491BF" w14:textId="77777777" w:rsidR="008F65FC" w:rsidRDefault="00000000">
      <w:pPr>
        <w:pStyle w:val="V-Guidance"/>
      </w:pPr>
      <w:r>
        <w:t>ICH M11 §8. Procedures and timing must match the Schedule of Activities (Section 1.3). Do not re-list timepoints here; reference the SoA. Each subsection carries the standard language describing what the assessment comprises. Phase-specific items are noted inline.</w:t>
      </w:r>
    </w:p>
    <w:p w14:paraId="0CB841A7" w14:textId="77777777" w:rsidR="008F65FC" w:rsidRDefault="00000000" w:rsidP="005552F9">
      <w:pPr>
        <w:pStyle w:val="V-heading2"/>
      </w:pPr>
      <w:bookmarkStart w:id="76" w:name="_Toc233801699"/>
      <w:r>
        <w:t>Screening and Baseline Assessments</w:t>
      </w:r>
      <w:bookmarkEnd w:id="76"/>
    </w:p>
    <w:p w14:paraId="13BB6169" w14:textId="77777777" w:rsidR="008F65FC" w:rsidRDefault="00000000">
      <w:pPr>
        <w:pStyle w:val="V-Example"/>
      </w:pPr>
      <w:r>
        <w:t>Screening assessments confirm eligibility before randomization and establish baseline for safety and efficacy, as listed in the Schedule of Activities. Baseline tumor assessment is performed for all patients.</w:t>
      </w:r>
    </w:p>
    <w:p w14:paraId="1694C666" w14:textId="77777777" w:rsidR="008F65FC" w:rsidRDefault="00000000" w:rsidP="005552F9">
      <w:pPr>
        <w:pStyle w:val="V-heading2"/>
      </w:pPr>
      <w:bookmarkStart w:id="77" w:name="_Toc233801700"/>
      <w:r>
        <w:t>Efficacy Assessments (RECIST v1.1)</w:t>
      </w:r>
      <w:bookmarkEnd w:id="77"/>
    </w:p>
    <w:p w14:paraId="14AA9C72" w14:textId="77777777" w:rsidR="008F65FC" w:rsidRDefault="00000000">
      <w:pPr>
        <w:pStyle w:val="V-Example"/>
      </w:pPr>
      <w:r>
        <w:t>Tumor assessments are performed at baseline and at the protocol-specified interval (for example, every 6 to 9 weeks) regardless of treatment delays, until documented progression. Responses and progression are determined per RECIST v1.1 by investigator assessment for the primary endpoint, with blinded independent central review as a sensitivity analysis. The same imaging modality is used throughout for a given patient.</w:t>
      </w:r>
    </w:p>
    <w:p w14:paraId="70407004" w14:textId="77777777" w:rsidR="008F65FC" w:rsidRDefault="00000000" w:rsidP="005552F9">
      <w:pPr>
        <w:pStyle w:val="V-heading2"/>
      </w:pPr>
      <w:bookmarkStart w:id="78" w:name="_Toc233801701"/>
      <w:r>
        <w:t>Safety Assessments</w:t>
      </w:r>
      <w:bookmarkEnd w:id="78"/>
    </w:p>
    <w:p w14:paraId="731648E7" w14:textId="77777777" w:rsidR="008F65FC" w:rsidRDefault="00000000" w:rsidP="005552F9">
      <w:pPr>
        <w:pStyle w:val="V-heading3"/>
      </w:pPr>
      <w:r>
        <w:t>Physical Examination</w:t>
      </w:r>
    </w:p>
    <w:p w14:paraId="38F7C512" w14:textId="77777777" w:rsidR="008F65FC" w:rsidRDefault="00000000">
      <w:pPr>
        <w:pStyle w:val="V-Example"/>
      </w:pPr>
      <w:r>
        <w:t>A complete physical examination comprises assessment of general appearance and of the head and neck; eyes, ears, nose, and throat; and the cardiovascular, respiratory, abdominal, dermatologic, musculoskeletal, lymphatic, and neurologic systems. Height is recorded at screening only; weight is recorded at each complete examination. A complete examination is performed at screening and at the end-of-treatment visit; a symptom-directed examination is performed at other on-treatment visits. Baseline signs and symptoms recorded at screening serve as the reference for treatment-emergent findings.</w:t>
      </w:r>
    </w:p>
    <w:p w14:paraId="145026D2" w14:textId="77777777" w:rsidR="008F65FC" w:rsidRDefault="00000000" w:rsidP="005552F9">
      <w:pPr>
        <w:pStyle w:val="V-heading3"/>
      </w:pPr>
      <w:r>
        <w:t>Vital Signs</w:t>
      </w:r>
    </w:p>
    <w:p w14:paraId="61EE139D" w14:textId="77777777" w:rsidR="008F65FC" w:rsidRDefault="00000000">
      <w:pPr>
        <w:pStyle w:val="V-Example"/>
      </w:pPr>
      <w:r>
        <w:t>Vital signs comprise systolic and diastolic blood pressure, heart rate, respiratory rate, and body temperature, measured after the patient has rested for ≥ 5 minutes in a seated position. Vital signs are obtained per the Schedule of Activities and as clinically indicated, and, for infused study treatment, before, during, and after the infusion per the protocol schedule.</w:t>
      </w:r>
    </w:p>
    <w:p w14:paraId="05735943" w14:textId="77777777" w:rsidR="008F65FC" w:rsidRDefault="00000000" w:rsidP="005552F9">
      <w:pPr>
        <w:pStyle w:val="V-heading3"/>
      </w:pPr>
      <w:r>
        <w:t>Electrocardiograms</w:t>
      </w:r>
    </w:p>
    <w:p w14:paraId="63204A2E" w14:textId="77777777" w:rsidR="008F65FC" w:rsidRDefault="00000000">
      <w:pPr>
        <w:pStyle w:val="V-Example"/>
      </w:pPr>
      <w:r>
        <w:t>A single 12-lead electrocardiogram is recorded after the patient has rested supine for ≥ 5 minutes, at screening and as clinically indicated thereafter. The Investigator reviews each electrocardiogram for clinically significant abnormalities, and the corrected QT interval is reported using the Fridericia correction.</w:t>
      </w:r>
    </w:p>
    <w:p w14:paraId="68CAA1AC" w14:textId="77777777" w:rsidR="008F65FC" w:rsidRDefault="00000000" w:rsidP="005552F9">
      <w:pPr>
        <w:pStyle w:val="V-heading3"/>
      </w:pPr>
      <w:r>
        <w:lastRenderedPageBreak/>
        <w:t>Clinical Laboratory Assessments</w:t>
      </w:r>
    </w:p>
    <w:p w14:paraId="40A930F4" w14:textId="77777777" w:rsidR="008F65FC" w:rsidRDefault="00000000">
      <w:pPr>
        <w:pStyle w:val="V-Example"/>
      </w:pPr>
      <w:r>
        <w:t>Clinical laboratory assessments comprise hematology (red blood cell count, hemoglobin, hematocrit, platelet count, white blood cell count with differential); serum chemistry (sodium, potassium, chloride, bicarbonate, blood urea nitrogen, creatinine, glucose, calcium, phosphorus, magnesium, total protein, albumin, total bilirubin, alanine aminotransferase, aspartate aminotransferase, alkaline phosphatase, lactate dehydrogenase); coagulation (prothrombin time or international normalized ratio, and activated partial thromboplastin time); and urinalysis (dipstick for protein, glucose, blood, and pH, with microscopy if abnormal). Samples are obtained at the timepoints specified in the Schedule of Activities.</w:t>
      </w:r>
    </w:p>
    <w:p w14:paraId="35C7E8F1" w14:textId="77777777" w:rsidR="008F65FC" w:rsidRDefault="00000000" w:rsidP="005552F9">
      <w:pPr>
        <w:pStyle w:val="V-heading3"/>
      </w:pPr>
      <w:r>
        <w:t>Pregnancy Testing</w:t>
      </w:r>
    </w:p>
    <w:p w14:paraId="51403965" w14:textId="77777777" w:rsidR="008F65FC" w:rsidRDefault="00000000">
      <w:pPr>
        <w:pStyle w:val="V-Example"/>
      </w:pPr>
      <w:r>
        <w:t>Women of childbearing potential undergo a serum or urine pregnancy test (minimum sensitivity 25 IU/L of human chorionic gonadotropin) at screening and at the timepoints specified in the Schedule of Activities, and more frequently where required by local regulation. A positive or unconfirmed urine test is confirmed by a serum test.</w:t>
      </w:r>
    </w:p>
    <w:p w14:paraId="27E6BB59" w14:textId="77777777" w:rsidR="008F65FC" w:rsidRDefault="00000000" w:rsidP="005552F9">
      <w:pPr>
        <w:pStyle w:val="V-heading2"/>
      </w:pPr>
      <w:bookmarkStart w:id="79" w:name="_Toc233801702"/>
      <w:r>
        <w:t>Pharmacokinetics</w:t>
      </w:r>
      <w:bookmarkEnd w:id="79"/>
    </w:p>
    <w:p w14:paraId="1E672C12" w14:textId="77777777" w:rsidR="008F65FC" w:rsidRDefault="00000000">
      <w:pPr>
        <w:pStyle w:val="V-Example"/>
      </w:pPr>
      <w:r>
        <w:t>Sparse blood samples for plasma DRUG‑123 concentrations are collected before dosing at the protocol-specified visits to support population pharmacokinetic analysis. The date and time of each sample and of the most recent dose are recorded.</w:t>
      </w:r>
    </w:p>
    <w:p w14:paraId="77126CA7" w14:textId="19ADA8F9" w:rsidR="008F65FC" w:rsidRDefault="0039590A" w:rsidP="005552F9">
      <w:pPr>
        <w:pStyle w:val="V-heading2"/>
      </w:pPr>
      <w:bookmarkStart w:id="80" w:name="_Toc233801703"/>
      <w:r>
        <w:t>Genetics</w:t>
      </w:r>
      <w:bookmarkEnd w:id="80"/>
    </w:p>
    <w:p w14:paraId="18DF32C3" w14:textId="399C6AF1" w:rsidR="008F65FC" w:rsidRDefault="0039590A">
      <w:pPr>
        <w:pStyle w:val="V-Example"/>
      </w:pPr>
      <w:r>
        <w:t>Not applicable.</w:t>
      </w:r>
    </w:p>
    <w:p w14:paraId="45AB327D" w14:textId="77777777" w:rsidR="008F65FC" w:rsidRDefault="00000000" w:rsidP="005552F9">
      <w:pPr>
        <w:pStyle w:val="V-heading2"/>
      </w:pPr>
      <w:bookmarkStart w:id="81" w:name="_Toc233801704"/>
      <w:r>
        <w:t>Biomarkers</w:t>
      </w:r>
      <w:bookmarkEnd w:id="81"/>
    </w:p>
    <w:p w14:paraId="53BCC278" w14:textId="77777777" w:rsidR="008F65FC" w:rsidRDefault="00000000">
      <w:pPr>
        <w:pStyle w:val="V-Example"/>
      </w:pPr>
      <w:r>
        <w:t>Blood and, where applicable, tumor-tissue samples are collected at the protocol-specified timepoints for the candidate biomarker analyses described in Section 3 and the laboratory manual. An archival or fresh tumor sample is required at baseline for the biomarker stratification.</w:t>
      </w:r>
    </w:p>
    <w:p w14:paraId="0B7D665D" w14:textId="77777777" w:rsidR="008F65FC" w:rsidRPr="0039590A" w:rsidRDefault="00000000" w:rsidP="003B0130">
      <w:pPr>
        <w:pStyle w:val="V-heading1"/>
      </w:pPr>
      <w:bookmarkStart w:id="82" w:name="_Toc233801705"/>
      <w:r w:rsidRPr="0039590A">
        <w:lastRenderedPageBreak/>
        <w:t>Adverse Events, Serious Adverse Events, and Safety Reporting</w:t>
      </w:r>
      <w:bookmarkEnd w:id="82"/>
    </w:p>
    <w:p w14:paraId="64CCBF6C" w14:textId="3561A31E" w:rsidR="008F65FC" w:rsidRDefault="0039590A" w:rsidP="005552F9">
      <w:pPr>
        <w:pStyle w:val="V-heading2"/>
      </w:pPr>
      <w:r>
        <w:t xml:space="preserve"> </w:t>
      </w:r>
      <w:bookmarkStart w:id="83" w:name="_Toc233801706"/>
      <w:r>
        <w:t>of Adverse EventsAdverse Event Definitions</w:t>
      </w:r>
      <w:bookmarkEnd w:id="83"/>
    </w:p>
    <w:p w14:paraId="1DD87092" w14:textId="77777777" w:rsidR="008F65FC" w:rsidRDefault="00000000">
      <w:pPr>
        <w:pStyle w:val="V-Guidance"/>
      </w:pPr>
      <w:r>
        <w:t>ICH M11 §9.1, consistent with ICH E2A and E6(R3). Use the standard regulatory definitions.</w:t>
      </w:r>
    </w:p>
    <w:p w14:paraId="13635ED1" w14:textId="77777777" w:rsidR="008F65FC" w:rsidRDefault="00000000">
      <w:pPr>
        <w:pStyle w:val="V-Guidance"/>
      </w:pPr>
      <w:r>
        <w:t>Adverse events are graded by the NCI Common Terminology Criteria for Adverse Events (CTCAE). The worked example shows CTCAE v6.0 as the default for a new oncology study beginning in 2026 (released 22 July 2025); CTCAE v5.0 remains acceptable for a study already ongoing. State the CTCAE version in force for the study and apply it consistently.</w:t>
      </w:r>
    </w:p>
    <w:p w14:paraId="01A07C94" w14:textId="0E074972" w:rsidR="0039590A" w:rsidRDefault="0039590A" w:rsidP="003B0130">
      <w:pPr>
        <w:pStyle w:val="V-heading3"/>
      </w:pPr>
      <w:r>
        <w:t>Definition of Adverse Events</w:t>
      </w:r>
    </w:p>
    <w:p w14:paraId="6639403B" w14:textId="0BE8EB88" w:rsidR="008F65FC" w:rsidRDefault="00000000">
      <w:pPr>
        <w:pStyle w:val="V-Example"/>
      </w:pPr>
      <w:r>
        <w:t>An adverse event (AE) is any untoward medical occurrence in a patient administered study treatment that does not necessarily have a causal relationship with the treatment. An AE can be any unfavorable and unintended sign, symptom, or disease temporally associated with the use of study treatment, whether or not considered related to it.</w:t>
      </w:r>
    </w:p>
    <w:p w14:paraId="45597036" w14:textId="2CBA3948" w:rsidR="0039590A" w:rsidRDefault="0039590A" w:rsidP="003B0130">
      <w:pPr>
        <w:pStyle w:val="V-heading3"/>
      </w:pPr>
      <w:r>
        <w:t>Definition of Serious Adverse Events</w:t>
      </w:r>
    </w:p>
    <w:p w14:paraId="3D61FC23" w14:textId="77777777" w:rsidR="008F65FC" w:rsidRDefault="00000000">
      <w:pPr>
        <w:pStyle w:val="V-Example"/>
      </w:pPr>
      <w:r>
        <w:t>A serious adverse event (SAE) is any untoward medical occurrence that, at any dose, results in death; is life-threatening; requires inpatient hospitalization or prolongation of existing hospitalization; results in persistent or significant disability or incapacity; is a congenital anomaly or birth defect; or is another important medical event that may jeopardize the patient or require intervention to prevent one of these outcomes.</w:t>
      </w:r>
    </w:p>
    <w:p w14:paraId="7312A959" w14:textId="77777777" w:rsidR="008F65FC" w:rsidRDefault="00000000">
      <w:pPr>
        <w:pStyle w:val="V-Example"/>
      </w:pPr>
      <w:r>
        <w:t>An adverse event of special interest (AESI) is an event, serious or not, of scientific and medical concern specific to DRUG‑123 that warrants close monitoring and rapid communication to the Sponsor; the AESIs for DRUG‑123 are listed in the protocol. A suspected unexpected serious adverse reaction (SUSAR) is a serious adverse reaction that is both suspected to be related to study treatment and unexpected relative to the reference safety information in the Investigator's Brochure.</w:t>
      </w:r>
    </w:p>
    <w:p w14:paraId="2DF7A4FB" w14:textId="77777777" w:rsidR="008F65FC" w:rsidRDefault="00000000" w:rsidP="005552F9">
      <w:pPr>
        <w:pStyle w:val="V-heading2"/>
      </w:pPr>
      <w:bookmarkStart w:id="84" w:name="_Toc233801707"/>
      <w:r>
        <w:t>Severity and Causality</w:t>
      </w:r>
      <w:bookmarkEnd w:id="84"/>
    </w:p>
    <w:p w14:paraId="10810F5F" w14:textId="77777777" w:rsidR="008F65FC" w:rsidRDefault="00000000">
      <w:pPr>
        <w:pStyle w:val="V-Example"/>
      </w:pPr>
      <w:r>
        <w:t>The severity of each AE is graded per the National Cancer Institute Common Terminology Criteria for Adverse Events (CTCAE): Grade 1 mild, Grade 2 moderate, Grade 3 severe or medically significant but not immediately life-threatening, Grade 4 life-threatening, Grade 5 death related to the AE. The Investigator assesses the relationship of each AE to study treatment as related or not related, based on whether there is a reasonable possibility that the study treatment caused the event. For the combination, the Investigator records the relationship to DRUG‑123 and to the combination agent separately.</w:t>
      </w:r>
    </w:p>
    <w:p w14:paraId="42376F5A" w14:textId="77777777" w:rsidR="008F65FC" w:rsidRDefault="00000000" w:rsidP="005552F9">
      <w:pPr>
        <w:pStyle w:val="V-heading2"/>
      </w:pPr>
      <w:bookmarkStart w:id="85" w:name="_Toc233801708"/>
      <w:r>
        <w:lastRenderedPageBreak/>
        <w:t>Timing and Procedures for Collection and Reporting</w:t>
      </w:r>
      <w:bookmarkEnd w:id="85"/>
    </w:p>
    <w:p w14:paraId="285F3FB6" w14:textId="2E709C12" w:rsidR="0039590A" w:rsidRPr="0039590A" w:rsidRDefault="0039590A" w:rsidP="0039590A">
      <w:pPr>
        <w:pStyle w:val="V-heading3"/>
      </w:pPr>
      <w:r>
        <w:t>Timing</w:t>
      </w:r>
    </w:p>
    <w:p w14:paraId="542ABA22" w14:textId="77777777" w:rsidR="008F65FC" w:rsidRDefault="00000000">
      <w:pPr>
        <w:pStyle w:val="V-Example"/>
      </w:pPr>
      <w:r>
        <w:t>Adverse events are collected from the first dose of study treatment through 30 days after the last dose or until initiation of subsequent anticancer therapy, whichever occurs first. Serious adverse events are collected from the time of informed consent. Events between informed consent and the first dose are recorded as medical history.</w:t>
      </w:r>
    </w:p>
    <w:p w14:paraId="063384CB" w14:textId="77777777" w:rsidR="008F65FC" w:rsidRDefault="00000000">
      <w:pPr>
        <w:pStyle w:val="V-Example"/>
      </w:pPr>
      <w:r>
        <w:t>The Investigator reports each SAE to the Sponsor within 24 hours of becoming aware of it. The Sponsor is responsible for expedited regulatory reporting of SUSARs within the timelines required by applicable regulation. Under 21 CFR 312.32, the Sponsor reports any fatal or life-threatening suspected unexpected serious adverse reaction to the FDA and all participating investigators as soon as possible but no later than 7 calendar days after first becoming aware, and any other serious and unexpected suspected adverse reaction no later than 15 calendar days.</w:t>
      </w:r>
    </w:p>
    <w:p w14:paraId="57D9AD76" w14:textId="77777777" w:rsidR="0039590A" w:rsidRPr="0039590A" w:rsidRDefault="0039590A" w:rsidP="0039590A">
      <w:pPr>
        <w:pStyle w:val="V-heading4"/>
      </w:pPr>
      <w:r w:rsidRPr="0039590A">
        <w:t>Collection Procedures</w:t>
      </w:r>
    </w:p>
    <w:p w14:paraId="54E05D82" w14:textId="77777777" w:rsidR="008F65FC" w:rsidRDefault="00000000">
      <w:pPr>
        <w:pStyle w:val="V-Example"/>
      </w:pPr>
      <w:r>
        <w:t>At each visit, the Investigator asks the patient a non-leading question about their health and records any new adverse event or any change in an ongoing event. Adverse events are also captured from physical examination, vital signs, laboratory results, electrocardiograms, and other assessments. Each event is recorded on the adverse event page of the eCRF.</w:t>
      </w:r>
    </w:p>
    <w:p w14:paraId="2C7AB130" w14:textId="3BEE1099" w:rsidR="0039590A" w:rsidRPr="0039590A" w:rsidRDefault="0039590A" w:rsidP="0039590A">
      <w:pPr>
        <w:pStyle w:val="V-heading4"/>
      </w:pPr>
      <w:r w:rsidRPr="0039590A">
        <w:t>Severity</w:t>
      </w:r>
    </w:p>
    <w:p w14:paraId="3E7035AB" w14:textId="77777777" w:rsidR="008F65FC" w:rsidRDefault="00000000">
      <w:pPr>
        <w:pStyle w:val="V-Example"/>
      </w:pPr>
      <w:r>
        <w:t>The Investigator grades the severity (intensity) of each adverse event using the CTCAE version in force for the study. If a CTCAE term does not exist for an event, severity is graded as mild (Grade 1), moderate (Grade 2), severe (Grade 3), life-threatening (Grade 4), or fatal (Grade 5). Severity is distinct from seriousness.</w:t>
      </w:r>
    </w:p>
    <w:p w14:paraId="26C8E875" w14:textId="4F6EE267" w:rsidR="0039590A" w:rsidRPr="0039590A" w:rsidRDefault="0039590A" w:rsidP="0039590A">
      <w:pPr>
        <w:pStyle w:val="V-heading4"/>
      </w:pPr>
      <w:r w:rsidRPr="0039590A">
        <w:t>Causality</w:t>
      </w:r>
    </w:p>
    <w:p w14:paraId="71C7BB1B" w14:textId="77777777" w:rsidR="008F65FC" w:rsidRDefault="00000000">
      <w:pPr>
        <w:pStyle w:val="V-Example"/>
      </w:pPr>
      <w:r>
        <w:t>The Investigator assesses the causal relationship of each adverse event to study treatment as related or not related, based on whether there is a reasonable possibility that the study treatment caused the event. For the combination, the relationship to DRUG‑123 and to the platinum-based chemotherapy is recorded separately. A causality assessment is required for every adverse event, including serious adverse events.</w:t>
      </w:r>
    </w:p>
    <w:p w14:paraId="29751DAE" w14:textId="458D0EDB" w:rsidR="0039590A" w:rsidRPr="0039590A" w:rsidRDefault="0039590A" w:rsidP="0039590A">
      <w:pPr>
        <w:pStyle w:val="V-heading4"/>
      </w:pPr>
      <w:r w:rsidRPr="0039590A">
        <w:t>Recording</w:t>
      </w:r>
    </w:p>
    <w:p w14:paraId="166200C9" w14:textId="77777777" w:rsidR="008F65FC" w:rsidRDefault="00000000">
      <w:pPr>
        <w:pStyle w:val="V-Example"/>
      </w:pPr>
      <w:r>
        <w:t>Each adverse event is recorded with its diagnosis (or, if no diagnosis is available, its signs and symptoms), start and stop dates, severity, seriousness, causality, action taken with study treatment, other action taken, and outcome. When a diagnosis is later established, the eCRF is updated to record the diagnosis in place of the individual signs and symptoms.</w:t>
      </w:r>
    </w:p>
    <w:p w14:paraId="5248971E" w14:textId="1974505A" w:rsidR="0039590A" w:rsidRPr="0039590A" w:rsidRDefault="0039590A" w:rsidP="0039590A">
      <w:pPr>
        <w:pStyle w:val="V-heading4"/>
      </w:pPr>
      <w:r w:rsidRPr="0039590A">
        <w:lastRenderedPageBreak/>
        <w:t>Follow-Up</w:t>
      </w:r>
    </w:p>
    <w:p w14:paraId="48C4C9CE" w14:textId="77777777" w:rsidR="008F65FC" w:rsidRDefault="00000000">
      <w:pPr>
        <w:pStyle w:val="V-Example"/>
      </w:pPr>
      <w:r>
        <w:t>Adverse events are followed until resolution, until the event stabilizes or returns to baseline, until it is otherwise explained, or until the patient is lost to follow-up. Serious adverse events are followed to a satisfactory resolution even if this extends beyond the reporting period, and follow-up information is reported to the Sponsor as it becomes available.</w:t>
      </w:r>
    </w:p>
    <w:p w14:paraId="017A1C71" w14:textId="77777777" w:rsidR="008F65FC" w:rsidRDefault="00000000" w:rsidP="005552F9">
      <w:pPr>
        <w:pStyle w:val="V-heading2"/>
      </w:pPr>
      <w:bookmarkStart w:id="86" w:name="_Toc233801709"/>
      <w:r>
        <w:t>Pregnancy and Postpartum Information</w:t>
      </w:r>
      <w:bookmarkEnd w:id="86"/>
    </w:p>
    <w:p w14:paraId="44A1D379" w14:textId="77777777" w:rsidR="008F65FC" w:rsidRDefault="00000000">
      <w:pPr>
        <w:pStyle w:val="V-Example"/>
      </w:pPr>
      <w:r>
        <w:t>Any pregnancy in a patient, or in the partner of a male patient, during treatment or within the protocol-specified period after the last dose is reported to the Sponsor within 24 hours, using the SAE timeline. Study treatment is discontinued in a patient who becomes pregnant. The pregnancy is followed to outcome, and any congenital anomaly, fetal death, or other adverse pregnancy or postpartum outcome is reported as an SAE.</w:t>
      </w:r>
    </w:p>
    <w:p w14:paraId="0F3A9A2F" w14:textId="77777777" w:rsidR="008F65FC" w:rsidRDefault="00000000" w:rsidP="005552F9">
      <w:pPr>
        <w:pStyle w:val="V-heading2"/>
      </w:pPr>
      <w:bookmarkStart w:id="87" w:name="_Toc233801710"/>
      <w:r>
        <w:t>Special Safety Situations</w:t>
      </w:r>
      <w:bookmarkEnd w:id="87"/>
    </w:p>
    <w:p w14:paraId="5639B81E" w14:textId="77777777" w:rsidR="008F65FC" w:rsidRDefault="00000000">
      <w:pPr>
        <w:pStyle w:val="V-Example"/>
      </w:pPr>
      <w:r>
        <w:t>Overdose, medication error, occupational exposure, and suspected transmission of an infectious agent through study treatment are recorded and reported per the protocol; any such event that meets a seriousness criterion is reported as an SAE.</w:t>
      </w:r>
    </w:p>
    <w:p w14:paraId="7F5935D4" w14:textId="77777777" w:rsidR="008F65FC" w:rsidRDefault="00000000" w:rsidP="003B0130">
      <w:pPr>
        <w:pStyle w:val="V-heading1"/>
      </w:pPr>
      <w:bookmarkStart w:id="88" w:name="_Toc233801711"/>
      <w:r>
        <w:lastRenderedPageBreak/>
        <w:t>Statistical Considerations</w:t>
      </w:r>
      <w:bookmarkEnd w:id="88"/>
    </w:p>
    <w:p w14:paraId="1C730B8A" w14:textId="77777777" w:rsidR="008F65FC" w:rsidRDefault="00000000">
      <w:pPr>
        <w:pStyle w:val="V-Guidance"/>
      </w:pPr>
      <w:r>
        <w:t>ICH M11 §10. Summarize the analysis approach; full detail resides in the statistical analysis plan. Organize analyses by objective and align with the estimands in Section 3.</w:t>
      </w:r>
    </w:p>
    <w:p w14:paraId="048E7AD6" w14:textId="77777777" w:rsidR="008F65FC" w:rsidRDefault="00000000" w:rsidP="005552F9">
      <w:pPr>
        <w:pStyle w:val="V-heading2"/>
      </w:pPr>
      <w:bookmarkStart w:id="89" w:name="_Toc233801712"/>
      <w:r>
        <w:t>General Considerations and Analysis Sets</w:t>
      </w:r>
      <w:bookmarkEnd w:id="89"/>
    </w:p>
    <w:p w14:paraId="2BE5284D" w14:textId="2086FCCB" w:rsidR="00046DEF" w:rsidRDefault="00046DEF" w:rsidP="00046DEF">
      <w:pPr>
        <w:pStyle w:val="V-Example"/>
      </w:pPr>
      <w:r w:rsidRPr="00092B3A">
        <w:t xml:space="preserve">Data will be summarized using descriptive statistics (number of </w:t>
      </w:r>
      <w:r>
        <w:t>patient</w:t>
      </w:r>
      <w:r w:rsidRPr="00092B3A">
        <w:t xml:space="preserve">s, mean, median, standard deviation, minimum, and maximum for continuous variables, and frequencies and percentages for discrete variables); and time-to-event variables will be summarized by Kaplan-Meier medians and curves. Data will be presented by dose level and cohort. Data listings will be created to support each table and to present all data. </w:t>
      </w:r>
    </w:p>
    <w:p w14:paraId="7C95B74A" w14:textId="2CDC90A8" w:rsidR="00046DEF" w:rsidRPr="00046DEF" w:rsidRDefault="00046DEF" w:rsidP="00046DEF">
      <w:pPr>
        <w:pStyle w:val="V-Example"/>
      </w:pPr>
      <w:r w:rsidRPr="00046DEF">
        <w:t>A general description of the statistical methods to be used to analyze the key efficacy and safety data is outlined below. Specific details will be provided in the Statistical Analysis Plan (SAP).</w:t>
      </w:r>
    </w:p>
    <w:p w14:paraId="35A6AF36" w14:textId="34760F3D" w:rsidR="0039590A" w:rsidRDefault="0039590A" w:rsidP="0039590A">
      <w:pPr>
        <w:pStyle w:val="V-heading2"/>
      </w:pPr>
      <w:bookmarkStart w:id="90" w:name="_Toc233801713"/>
      <w:r>
        <w:t>Analysis Populations</w:t>
      </w:r>
      <w:bookmarkEnd w:id="90"/>
    </w:p>
    <w:p w14:paraId="4DDDAF46" w14:textId="26957DD0" w:rsidR="002149EE" w:rsidRDefault="002149EE">
      <w:pPr>
        <w:pStyle w:val="V-Example"/>
      </w:pPr>
      <w:r w:rsidRPr="00046DEF">
        <w:rPr>
          <w:b/>
          <w:bCs/>
        </w:rPr>
        <w:t>Modified intent-to-treat</w:t>
      </w:r>
      <w:r w:rsidR="00213698" w:rsidRPr="00046DEF">
        <w:rPr>
          <w:b/>
          <w:bCs/>
        </w:rPr>
        <w:t xml:space="preserve"> set</w:t>
      </w:r>
      <w:r>
        <w:t>:</w:t>
      </w:r>
      <w:r w:rsidR="00213698">
        <w:t xml:space="preserve"> Comprises all randomized patients, analyzed by randomized treatment, and is the primary set for efficacy</w:t>
      </w:r>
    </w:p>
    <w:p w14:paraId="61E86F9C" w14:textId="02D7EAFB" w:rsidR="00213698" w:rsidRDefault="00213698">
      <w:pPr>
        <w:pStyle w:val="V-Example"/>
      </w:pPr>
      <w:r w:rsidRPr="00046DEF">
        <w:rPr>
          <w:b/>
          <w:bCs/>
        </w:rPr>
        <w:t>Response-evaluable set</w:t>
      </w:r>
      <w:r>
        <w:t>: comprises intention-to-treat patients with measurable disease at baseline and at least one evaluable on-treatment assessment</w:t>
      </w:r>
    </w:p>
    <w:p w14:paraId="3D3217DA" w14:textId="146831CD" w:rsidR="00213698" w:rsidRDefault="00213698">
      <w:pPr>
        <w:pStyle w:val="V-Example"/>
      </w:pPr>
      <w:r w:rsidRPr="00046DEF">
        <w:rPr>
          <w:b/>
          <w:bCs/>
        </w:rPr>
        <w:t>Pharmacokinetic set</w:t>
      </w:r>
      <w:r>
        <w:t xml:space="preserve">: comprises patients who received at least 1 dose of study drug </w:t>
      </w:r>
      <w:r w:rsidR="00046DEF">
        <w:t xml:space="preserve">and who have baseline and at least one post-baseline peripheral blood serum sample to measure XX levels. </w:t>
      </w:r>
    </w:p>
    <w:p w14:paraId="519FB0CE" w14:textId="1847CB35" w:rsidR="00213698" w:rsidRPr="00046DEF" w:rsidRDefault="00213698" w:rsidP="00046DEF">
      <w:pPr>
        <w:pStyle w:val="V-Example"/>
      </w:pPr>
      <w:r w:rsidRPr="00046DEF">
        <w:t xml:space="preserve">Additional analyses sets for various secondary and exploratory endpoints </w:t>
      </w:r>
      <w:r w:rsidR="00046DEF">
        <w:t xml:space="preserve">or for patients enrolled in specific regions or countries may be used and </w:t>
      </w:r>
      <w:r w:rsidRPr="00046DEF">
        <w:t>will be similarly defined in the Statistical Analysis Plan.</w:t>
      </w:r>
    </w:p>
    <w:p w14:paraId="308CC063" w14:textId="4B882F44" w:rsidR="0039590A" w:rsidRDefault="0039590A" w:rsidP="0039590A">
      <w:pPr>
        <w:pStyle w:val="V-heading2"/>
      </w:pPr>
      <w:bookmarkStart w:id="91" w:name="_Toc233801714"/>
      <w:r>
        <w:t>Analyses for Demographics and Other Baseline Variables</w:t>
      </w:r>
      <w:bookmarkEnd w:id="91"/>
    </w:p>
    <w:p w14:paraId="5EF70FF7" w14:textId="52F86D69" w:rsidR="00153D5F" w:rsidRPr="00153D5F" w:rsidRDefault="00153D5F" w:rsidP="00153D5F">
      <w:pPr>
        <w:pStyle w:val="V-Example"/>
      </w:pPr>
      <w:r w:rsidRPr="00153D5F">
        <w:t xml:space="preserve">Demographics will be summarized, along with the baseline characteristics </w:t>
      </w:r>
      <w:r w:rsidR="00046DEF">
        <w:t>including age, gender,</w:t>
      </w:r>
      <w:r w:rsidRPr="00153D5F">
        <w:t xml:space="preserve"> medical history, disease history, and prior and concomitant medications. </w:t>
      </w:r>
      <w:r>
        <w:t>Patient</w:t>
      </w:r>
      <w:r w:rsidRPr="00153D5F">
        <w:t xml:space="preserve"> completion status, dose reductions, dose interruptions, and study terminations will be summarized for each study treatment (separately for </w:t>
      </w:r>
      <w:r>
        <w:t>all study treatments administered as well as combination treatment</w:t>
      </w:r>
      <w:r w:rsidRPr="00153D5F">
        <w:t xml:space="preserve">), treatment cycle, and overall. </w:t>
      </w:r>
      <w:r>
        <w:t>Patient</w:t>
      </w:r>
      <w:r w:rsidRPr="00153D5F">
        <w:t xml:space="preserve">s with important protocol violations will be listed. </w:t>
      </w:r>
    </w:p>
    <w:p w14:paraId="13A3ED8B" w14:textId="77777777" w:rsidR="008F65FC" w:rsidRDefault="00000000" w:rsidP="005552F9">
      <w:pPr>
        <w:pStyle w:val="V-heading2"/>
      </w:pPr>
      <w:bookmarkStart w:id="92" w:name="_Toc233801715"/>
      <w:r>
        <w:t>Analyses for the Primary Objective</w:t>
      </w:r>
      <w:bookmarkEnd w:id="92"/>
    </w:p>
    <w:p w14:paraId="6502334B" w14:textId="77777777" w:rsidR="008F65FC" w:rsidRDefault="00000000">
      <w:pPr>
        <w:pStyle w:val="V-Example"/>
      </w:pPr>
      <w:r>
        <w:t xml:space="preserve">Progression-free survival is compared between arms by a stratified log-rank test using the randomization strata. The hazard ratio and its 95% confidence interval are estimated from a stratified Cox proportional-hazards model with treatment as the only covariate. Progression-free survival is summarized by the Kaplan-Meier method, with median PFS, its 95% confidence interval, and progression-free rates at protocol-specified landmark times. The primary analysis </w:t>
      </w:r>
      <w:r>
        <w:lastRenderedPageBreak/>
        <w:t>uses investigator assessment; blinded independent central review is analyzed as a sensitivity analysis, and additional sensitivity analyses address the intercurrent-event assumptions of the primary estimand.</w:t>
      </w:r>
    </w:p>
    <w:p w14:paraId="2076BC95" w14:textId="77777777" w:rsidR="008F65FC" w:rsidRDefault="00000000">
      <w:pPr>
        <w:pStyle w:val="V-Example"/>
      </w:pPr>
      <w:r>
        <w:t>The stratified log-rank test and the stratified Cox model use the stratification factors recorded at randomization; the Cox model uses the Efron method for ties. The Kaplan-Meier median and its 95% confidence interval use the Brookmeyer-Crowley method, and point-wise survival estimates use Greenwood standard errors. If any stratum (treatment arms pooled) contains fewer than 10 events, the biomarker stratification factor is collapsed first (its two lowest categories merged); the check is repeated, and if any stratum still contains fewer than 10 events the remaining stratification factors are dropped in the prespecified order (prior anti-angiogenic therapy, then metastatic at initial diagnosis). The threshold is a hard fewer-than-10; the resulting factor set is applied to all stratified analyses.</w:t>
      </w:r>
    </w:p>
    <w:p w14:paraId="062D6F08" w14:textId="77777777" w:rsidR="008F65FC" w:rsidRDefault="00000000">
      <w:pPr>
        <w:pStyle w:val="V-Example"/>
      </w:pPr>
      <w:r>
        <w:t>The proportional-hazards assumption is examined by complementary log-log plots and by a time-dependent treatment-by-time covariate. If the assumption does not hold, the treatment effect is summarized by the difference in restricted mean survival time and by an average or piecewise hazard ratio, consistent with the supplementary overall-survival estimand. Sensitivity analyses include an unstratified Cox model, a comparison of strata as recorded in the interactive response technology versus the electronic data capture system, a covariate-adjusted Cox model, an attrition-bias analysis (Kaplan-Meier of time to censoring with the censoring indicator reversed), and the alternative censoring rules in the estimand table (Table 9).</w:t>
      </w:r>
    </w:p>
    <w:p w14:paraId="180943A6" w14:textId="77777777" w:rsidR="008F65FC" w:rsidRDefault="00000000" w:rsidP="005552F9">
      <w:pPr>
        <w:pStyle w:val="V-heading2"/>
      </w:pPr>
      <w:bookmarkStart w:id="93" w:name="_Toc233801716"/>
      <w:r>
        <w:t>Analyses for Secondary and Exploratory Objectives</w:t>
      </w:r>
      <w:bookmarkEnd w:id="93"/>
    </w:p>
    <w:p w14:paraId="055FDAEB" w14:textId="77777777" w:rsidR="008F65FC" w:rsidRDefault="00000000">
      <w:pPr>
        <w:pStyle w:val="V-Example"/>
      </w:pPr>
      <w:r>
        <w:t>Overall survival is tested in a fixed-sequence hierarchy after a significant primary analysis of progression-free survival, by the same methods as PFS. Objective response rate is compared between arms by the Cochran-Mantel-Haenszel test adjusting for the randomization strata, with two-sided 95% confidence intervals. Duration of response is summarized by the Kaplan-Meier method in responders. Health-related quality of life is summarized by change from baseline. Exploratory analyses are described in the statistical analysis plan.</w:t>
      </w:r>
    </w:p>
    <w:p w14:paraId="495E17FA" w14:textId="77777777" w:rsidR="008F65FC" w:rsidRDefault="00000000">
      <w:pPr>
        <w:pStyle w:val="V-Example"/>
      </w:pPr>
      <w:r>
        <w:t>Within-arm response proportions are reported with two-sided 95% exact (Clopper-Pearson) confidence intervals, and the between-arm difference is reported with a stratified Miettinen-Nurminen confidence interval. Longitudinal patient-reported outcomes and laboratory measures are analyzed by a mixed model for repeated measures using all observed data without imputation. The handling of intercurrent events for each secondary estimand matches the strategy stated in Section 3.</w:t>
      </w:r>
    </w:p>
    <w:p w14:paraId="39CAAAE9" w14:textId="77777777" w:rsidR="008F65FC" w:rsidRDefault="00000000" w:rsidP="005552F9">
      <w:pPr>
        <w:pStyle w:val="V-heading2"/>
      </w:pPr>
      <w:bookmarkStart w:id="94" w:name="_Toc233801717"/>
      <w:r>
        <w:t>Safety Analyses</w:t>
      </w:r>
      <w:bookmarkEnd w:id="94"/>
    </w:p>
    <w:p w14:paraId="2F0B855C" w14:textId="77777777" w:rsidR="008F65FC" w:rsidRDefault="00000000">
      <w:pPr>
        <w:pStyle w:val="V-Example"/>
      </w:pPr>
      <w:r>
        <w:t>Safety is summarized descriptively in the safety set: adverse events by system organ class and preferred term, by maximum CTCAE grade, and by relationship; laboratory values, vital signs, and electrocardiograms by shift and change from baseline. Safety is summarized by treatment arm.</w:t>
      </w:r>
    </w:p>
    <w:p w14:paraId="6807F6A8" w14:textId="77777777" w:rsidR="008F65FC" w:rsidRDefault="00000000" w:rsidP="005552F9">
      <w:pPr>
        <w:pStyle w:val="V-heading2"/>
      </w:pPr>
      <w:bookmarkStart w:id="95" w:name="_Toc233801718"/>
      <w:r>
        <w:lastRenderedPageBreak/>
        <w:t>Interim Analyses and Multiplicity</w:t>
      </w:r>
      <w:bookmarkEnd w:id="95"/>
    </w:p>
    <w:p w14:paraId="08149A35" w14:textId="77777777" w:rsidR="008F65FC" w:rsidRDefault="00000000">
      <w:pPr>
        <w:pStyle w:val="V-Example"/>
      </w:pPr>
      <w:r>
        <w:t>Interim analyses for efficacy and futility are planned and are reviewed by an independent data monitoring committee against a charter. Type I error for the time-to-event endpoints is controlled by an O'Brien-Fleming alpha-spending function. The overall two-sided type I error is controlled at 5% across the primary and key secondary endpoints by a fixed-sequence testing procedure, so that overall survival is tested only if the primary analysis of progression-free survival is significant.</w:t>
      </w:r>
    </w:p>
    <w:p w14:paraId="196CA81E" w14:textId="77777777" w:rsidR="008F65FC" w:rsidRDefault="00000000">
      <w:pPr>
        <w:pStyle w:val="V-Guidance"/>
      </w:pPr>
      <w:r>
        <w:t>Two multiplicity strategies are acceptable: a fixed-sequence hierarchy and a graphical approach with alpha reallocation. State one in the protocol and the full strategy in the statistical analysis plan. Keep the overall type I error two-sided 0.05 to match this draft (a one-sided 0.025 convention is the alternative).</w:t>
      </w:r>
    </w:p>
    <w:p w14:paraId="787A3799" w14:textId="77777777" w:rsidR="008F65FC" w:rsidRDefault="00000000">
      <w:pPr>
        <w:pStyle w:val="V-Example"/>
      </w:pPr>
      <w:r>
        <w:t>As an alternative to the fixed-sequence hierarchy, the overall type I error may be controlled across the primary and key secondary hypotheses by the graphical approach of Maurer and Bretz, with the initial alpha allocations and the reallocation weights prespecified; when a hypothesis is rejected, its alpha is reallocated to the connected hypotheses according to the weights. Under either strategy, the alpha allocated to each hypothesis is spent over that hypothesis's own interim and final analyses by a per-hypothesis Lan-DeMets alpha-spending function approximating O'Brien-Fleming boundaries, with boundaries recomputed using the actual number of events at each analysis, rather than by a single global spending function over the whole graph. The method for preserving strong control of the type I error when alpha is reallocated under the group-sequential design is specified in the statistical analysis plan.</w:t>
      </w:r>
    </w:p>
    <w:p w14:paraId="03B3EB56" w14:textId="77777777" w:rsidR="008F65FC" w:rsidRDefault="00000000">
      <w:pPr>
        <w:pStyle w:val="V-Example"/>
      </w:pPr>
      <w:r>
        <w:t>A non-binding futility assessment is performed at the first interim analysis. Because the assessment is non-binding, crossing the futility boundary does not compel stopping: the independent data monitoring committee reviews the result against its charter and makes a recommendation, and the Sponsor may decide to continue the study on the committee's advice. The Sponsor acts on the committee's recommendation rather than on the unblinded comparative interim results, which are produced by an unblinded statistician who is otherwise not involved in the conduct of the study or in protocol decisions and who presents them to the committee; any decision to continue past a futility boundary is documented. The boundaries, the information fractions, and the testing strategy are specified in a separate statistical analysis plan for the data monitoring committee.</w:t>
      </w:r>
    </w:p>
    <w:p w14:paraId="2857F45F" w14:textId="77777777" w:rsidR="008F65FC" w:rsidRDefault="00000000" w:rsidP="005552F9">
      <w:pPr>
        <w:pStyle w:val="V-heading2"/>
      </w:pPr>
      <w:bookmarkStart w:id="96" w:name="_Toc233801719"/>
      <w:r>
        <w:t>Sample Size Determination</w:t>
      </w:r>
      <w:bookmarkEnd w:id="96"/>
    </w:p>
    <w:p w14:paraId="3532046F" w14:textId="77777777" w:rsidR="008F65FC" w:rsidRDefault="00000000">
      <w:pPr>
        <w:pStyle w:val="V-Example"/>
      </w:pPr>
      <w:r>
        <w:t xml:space="preserve">The study is event-driven. Approximately 230 PFS events provide approximately 90% power to detect a hazard ratio of 0.65 at a two-sided alpha of 0.05 (stratified log-rank), assuming a control-arm median PFS of approximately 5.6 months. The required number of events follows the Schoenfeld relation, d = 4 (z(1-alpha/2) + z(1-beta))^2 / (ln HR)^2, which gives approximately 227 events, rounded up to approximately 230 to preserve power under the planned interim analysis. Approximately 600 patients are randomized 1:1 over an accrual period of approximately 24 months; the primary analysis is triggered when approximately 230 PFS events have accrued, with one interim efficacy analysis at approximately 70% of the </w:t>
      </w:r>
      <w:r>
        <w:lastRenderedPageBreak/>
        <w:t>planned events (approximately 160 events). The targeted number of overall-survival events for the key secondary analysis is specified in the statistical analysis plan.</w:t>
      </w:r>
    </w:p>
    <w:p w14:paraId="5AE0F4F5" w14:textId="77777777" w:rsidR="008F65FC" w:rsidRDefault="00000000">
      <w:pPr>
        <w:pStyle w:val="V-Example"/>
      </w:pPr>
      <w:r>
        <w:t>The targeted number of progression-free survival events follows from the assumed control-arm median, the targeted hazard ratio, the two-sided alpha, the power, and the alpha spent at the interim analyses; the corresponding sample size accounts for the planned accrual duration and the assumed annual dropout. The number of overall-survival events targeted for the key secondary analysis, the assumed control-arm median overall survival, and the timing of the overall-survival analyses relative to the progression-free survival analysis are specified in the statistical analysis plan.</w:t>
      </w:r>
    </w:p>
    <w:p w14:paraId="032244A8" w14:textId="77777777" w:rsidR="008F65FC" w:rsidRDefault="00000000" w:rsidP="0039590A">
      <w:pPr>
        <w:pStyle w:val="V-heading1"/>
      </w:pPr>
      <w:bookmarkStart w:id="97" w:name="_Toc233801720"/>
      <w:r>
        <w:lastRenderedPageBreak/>
        <w:t>Study Oversight and General Considerations</w:t>
      </w:r>
      <w:bookmarkEnd w:id="97"/>
    </w:p>
    <w:p w14:paraId="54B098DA" w14:textId="77777777" w:rsidR="008F65FC" w:rsidRDefault="00000000" w:rsidP="005552F9">
      <w:pPr>
        <w:pStyle w:val="V-heading2"/>
      </w:pPr>
      <w:bookmarkStart w:id="98" w:name="_Toc233801721"/>
      <w:r>
        <w:t>Regulatory and Ethical Considerations</w:t>
      </w:r>
      <w:bookmarkEnd w:id="98"/>
    </w:p>
    <w:p w14:paraId="15E4C967" w14:textId="77777777" w:rsidR="008F65FC" w:rsidRDefault="00000000">
      <w:pPr>
        <w:pStyle w:val="V-Guidance"/>
      </w:pPr>
      <w:r>
        <w:t>ICH M11 §11. The study is conducted per ICH E6(R3) GCP, the Declaration of Helsinki, and applicable regulatory requirements.</w:t>
      </w:r>
    </w:p>
    <w:p w14:paraId="050F359C" w14:textId="77777777" w:rsidR="008F65FC" w:rsidRDefault="00000000">
      <w:pPr>
        <w:pStyle w:val="V-Example"/>
      </w:pPr>
      <w:r>
        <w:t>The study is conducted in accordance with the protocol, ICH E6(R3) Good Clinical Practice, the principles of the Declaration of Helsinki, and applicable regulatory requirements. The protocol and informed consent are approved by the Institutional Review Board or Independent Ethics Committee before enrollment.</w:t>
      </w:r>
    </w:p>
    <w:p w14:paraId="33885633" w14:textId="77777777" w:rsidR="008F65FC" w:rsidRDefault="00000000" w:rsidP="005552F9">
      <w:pPr>
        <w:pStyle w:val="V-heading2"/>
      </w:pPr>
      <w:bookmarkStart w:id="99" w:name="_Toc233801722"/>
      <w:r>
        <w:t>Informed Consent Process</w:t>
      </w:r>
      <w:bookmarkEnd w:id="99"/>
    </w:p>
    <w:p w14:paraId="105FA2AB" w14:textId="77777777" w:rsidR="008F65FC" w:rsidRDefault="00000000">
      <w:pPr>
        <w:pStyle w:val="V-Example"/>
      </w:pPr>
      <w:r>
        <w:t>Written informed consent is obtained from each patient before any study-specific procedure. The consent process and any re-consent for protocol amendments are documented.</w:t>
      </w:r>
    </w:p>
    <w:p w14:paraId="3FF0402E" w14:textId="77777777" w:rsidR="008F65FC" w:rsidRDefault="00000000" w:rsidP="005552F9">
      <w:pPr>
        <w:pStyle w:val="V-heading2"/>
      </w:pPr>
      <w:bookmarkStart w:id="100" w:name="_Toc233801723"/>
      <w:r>
        <w:t>Committees</w:t>
      </w:r>
      <w:bookmarkEnd w:id="100"/>
    </w:p>
    <w:p w14:paraId="39359AFE" w14:textId="77777777" w:rsidR="008F65FC" w:rsidRDefault="00000000">
      <w:pPr>
        <w:pStyle w:val="V-Example"/>
      </w:pPr>
      <w:r>
        <w:t>An independent data monitoring committee reviews safety and the planned interim analyses per its charter and makes recommendations to the Sponsor.</w:t>
      </w:r>
    </w:p>
    <w:p w14:paraId="5887C256" w14:textId="77777777" w:rsidR="008F65FC" w:rsidRDefault="00000000" w:rsidP="005552F9">
      <w:pPr>
        <w:pStyle w:val="V-heading2"/>
      </w:pPr>
      <w:bookmarkStart w:id="101" w:name="_Toc233801724"/>
      <w:r>
        <w:t>Risk-Based Quality Management and Data Governance</w:t>
      </w:r>
      <w:bookmarkEnd w:id="101"/>
    </w:p>
    <w:p w14:paraId="6B3742B1" w14:textId="77777777" w:rsidR="008F65FC" w:rsidRDefault="00000000">
      <w:pPr>
        <w:pStyle w:val="V-Example"/>
      </w:pPr>
      <w:r>
        <w:t>The study applies a risk-based approach to quality management per ICH E6(R3) and E8(R1), with critical-to-quality factors identified and monitored. Data are managed and retained per applicable regulation.</w:t>
      </w:r>
    </w:p>
    <w:p w14:paraId="42067E41" w14:textId="77777777" w:rsidR="008F65FC" w:rsidRDefault="00000000" w:rsidP="005552F9">
      <w:pPr>
        <w:pStyle w:val="V-heading2"/>
      </w:pPr>
      <w:bookmarkStart w:id="102" w:name="_Toc233801725"/>
      <w:r>
        <w:t>Protocol Deviations and Data Dissemination</w:t>
      </w:r>
      <w:bookmarkEnd w:id="102"/>
    </w:p>
    <w:p w14:paraId="0E266A7E" w14:textId="77777777" w:rsidR="008F65FC" w:rsidRDefault="00000000">
      <w:pPr>
        <w:pStyle w:val="V-Example"/>
      </w:pPr>
      <w:r>
        <w:t>Protocol deviations are recorded, assessed, and reported per the monitoring plan. Study results are registered and disclosed per applicable regulation and Sponsor policy.</w:t>
      </w:r>
    </w:p>
    <w:p w14:paraId="276C00CC" w14:textId="7C8092C9" w:rsidR="0039590A" w:rsidRDefault="0039590A" w:rsidP="0039590A">
      <w:pPr>
        <w:pStyle w:val="V-heading1"/>
      </w:pPr>
      <w:bookmarkStart w:id="103" w:name="_Toc233801726"/>
      <w:r>
        <w:lastRenderedPageBreak/>
        <w:t>References</w:t>
      </w:r>
      <w:bookmarkEnd w:id="103"/>
    </w:p>
    <w:p w14:paraId="00762942" w14:textId="7DCBE91B" w:rsidR="00DF57B7" w:rsidRPr="00DF57B7" w:rsidRDefault="00DF57B7" w:rsidP="00DF57B7">
      <w:pPr>
        <w:pStyle w:val="V-BodyText"/>
      </w:pPr>
      <w:r w:rsidRPr="00DF57B7">
        <w:t>International Council for Harmonisation. ICH harmonised guideline E8(R1): general considerations for clinical studies. 2021.</w:t>
      </w:r>
    </w:p>
    <w:p w14:paraId="50198C56" w14:textId="29919907" w:rsidR="00DF57B7" w:rsidRPr="00DF57B7" w:rsidRDefault="00DF57B7" w:rsidP="00DF57B7">
      <w:pPr>
        <w:pStyle w:val="V-BodyText"/>
      </w:pPr>
      <w:r w:rsidRPr="00DF57B7">
        <w:t>International Council for Harmonisation. ICH harmonised guideline E9(R1): statistical principles for clinical trials — addendum on estimands and sensitivity analysis. 2019.</w:t>
      </w:r>
    </w:p>
    <w:p w14:paraId="7F29A465" w14:textId="2F7A9E89" w:rsidR="00DF57B7" w:rsidRPr="00DF57B7" w:rsidRDefault="00DF57B7" w:rsidP="00DF57B7">
      <w:pPr>
        <w:pStyle w:val="V-BodyText"/>
      </w:pPr>
      <w:r w:rsidRPr="00DF57B7">
        <w:t>International Council for Harmonisation. ICH harmonised guideline E6(R3): good clinical practice. 2025.</w:t>
      </w:r>
    </w:p>
    <w:p w14:paraId="7B94A43C" w14:textId="672BF60D" w:rsidR="00DF57B7" w:rsidRPr="00DF57B7" w:rsidRDefault="00DF57B7" w:rsidP="00DF57B7">
      <w:pPr>
        <w:pStyle w:val="V-BodyText"/>
      </w:pPr>
      <w:r w:rsidRPr="00DF57B7">
        <w:t>International Council for Harmonisation. ICH M11 guideline: clinical electronic structured harmonised protocol (CeSHarP). Step 4 (adopted 19 November 2025); FDA final guidance 22 May 2026.</w:t>
      </w:r>
    </w:p>
    <w:p w14:paraId="106D8112" w14:textId="4619A2E7" w:rsidR="00DF57B7" w:rsidRPr="00DF57B7" w:rsidRDefault="00DF57B7" w:rsidP="00DF57B7">
      <w:pPr>
        <w:pStyle w:val="V-BodyText"/>
      </w:pPr>
      <w:r w:rsidRPr="00DF57B7">
        <w:t>International Council for Harmonisation. ICH harmonised guideline E2A: clinical safety data management — definitions and standards for expedited reporting. 1994.</w:t>
      </w:r>
    </w:p>
    <w:p w14:paraId="53FD38F9" w14:textId="3743F8CB" w:rsidR="00DF57B7" w:rsidRPr="00DF57B7" w:rsidRDefault="00DF57B7" w:rsidP="00DF57B7">
      <w:pPr>
        <w:pStyle w:val="V-BodyText"/>
      </w:pPr>
      <w:r w:rsidRPr="00DF57B7">
        <w:t>International Council for Harmonisation. ICH harmonised guideline S9: nonclinical evaluation for anticancer pharmaceuticals. 2009.</w:t>
      </w:r>
    </w:p>
    <w:p w14:paraId="347F9375" w14:textId="655EC93C" w:rsidR="00DF57B7" w:rsidRPr="00DF57B7" w:rsidRDefault="00DF57B7" w:rsidP="00DF57B7">
      <w:pPr>
        <w:pStyle w:val="V-BodyText"/>
      </w:pPr>
      <w:r w:rsidRPr="00DF57B7">
        <w:t>Eisenhauer EA, Therasse P, Bogaerts J, et al. New response evaluation criteria in solid tumours: revised RECIST guideline (version 1.1). Eur J Cancer. 2009;45(2):228-247. doi:10.1016/j.ejca.2008.10.026</w:t>
      </w:r>
    </w:p>
    <w:p w14:paraId="279E164E" w14:textId="7EEA227F" w:rsidR="00DF57B7" w:rsidRDefault="00DF57B7" w:rsidP="00DF57B7">
      <w:pPr>
        <w:pStyle w:val="V-heading1"/>
      </w:pPr>
      <w:bookmarkStart w:id="104" w:name="_Toc233801727"/>
      <w:r>
        <w:lastRenderedPageBreak/>
        <w:t>Appendices</w:t>
      </w:r>
      <w:bookmarkEnd w:id="104"/>
    </w:p>
    <w:p w14:paraId="407EB2D0" w14:textId="1FE55FCE" w:rsidR="008F65FC" w:rsidRDefault="005F45D2" w:rsidP="003B0130">
      <w:pPr>
        <w:pStyle w:val="Heading1un-numbered"/>
        <w:tabs>
          <w:tab w:val="clear" w:pos="1080"/>
          <w:tab w:val="left" w:pos="1800"/>
        </w:tabs>
        <w:ind w:left="1800" w:hanging="1800"/>
        <w:jc w:val="left"/>
      </w:pPr>
      <w:bookmarkStart w:id="105" w:name="_Toc233801728"/>
      <w:r>
        <w:t>Appendix 1:</w:t>
      </w:r>
      <w:r>
        <w:tab/>
        <w:t>Response Evaluation Criteria in Solid Tumors (RECIST) Version 1.1</w:t>
      </w:r>
      <w:bookmarkEnd w:id="105"/>
    </w:p>
    <w:p w14:paraId="579E9A45" w14:textId="77777777" w:rsidR="008F65FC" w:rsidRDefault="00000000">
      <w:pPr>
        <w:pStyle w:val="V-BodyText"/>
      </w:pPr>
      <w:r>
        <w:t>Tumor response is assessed by the Investigator using RECIST version 1.1 (EISENHAUER et al 2009). The definitions below summarize the criteria applied in this study; the published guideline governs any point not stated here.</w:t>
      </w:r>
    </w:p>
    <w:p w14:paraId="7A91388E" w14:textId="77777777" w:rsidR="008F65FC" w:rsidRDefault="00000000">
      <w:pPr>
        <w:pStyle w:val="V-BodyText"/>
      </w:pPr>
      <w:r>
        <w:rPr>
          <w:b/>
        </w:rPr>
        <w:t>Measurability of Lesions at Baseline</w:t>
      </w:r>
    </w:p>
    <w:p w14:paraId="3033AA94" w14:textId="77777777" w:rsidR="008F65FC" w:rsidRDefault="00000000">
      <w:pPr>
        <w:pStyle w:val="V-BodyText"/>
      </w:pPr>
      <w:r>
        <w:t>Measurable lesions can be accurately measured in at least one dimension, with a longest diameter of at least 10 mm by computed tomography or magnetic resonance imaging (slice thickness no greater than 5 mm), at least 10 mm by caliper on clinical examination, or at least 20 mm by chest x-ray. Malignant lymph nodes must be at least 15 mm in the short axis to be considered measurable. Non-measurable lesions are all other lesions, including small lesions (longest diameter less than 10 mm, or malignant lymph nodes with short axis 10 to less than 15 mm) and truly non-measurable lesions such as leptomeningeal disease, ascites, pleural or pericardial effusion, and lymphangitic involvement of skin or lung.</w:t>
      </w:r>
    </w:p>
    <w:p w14:paraId="4923C782" w14:textId="77777777" w:rsidR="008F65FC" w:rsidRDefault="00000000">
      <w:pPr>
        <w:pStyle w:val="V-BodyText"/>
      </w:pPr>
      <w:r>
        <w:rPr>
          <w:b/>
        </w:rPr>
        <w:t>Target and Non-Target Lesions</w:t>
      </w:r>
    </w:p>
    <w:p w14:paraId="7CA99499" w14:textId="77777777" w:rsidR="008F65FC" w:rsidRDefault="00000000">
      <w:pPr>
        <w:pStyle w:val="V-BodyText"/>
      </w:pPr>
      <w:r>
        <w:t>A maximum of five measurable lesions in total (and a maximum of two per organ) representative of all involved organs are selected as target lesions and recorded at baseline. The sum of the diameters (longest diameter for non-nodal lesions, short axis for nodal lesions) of all target lesions is calculated and reported as the baseline sum of diameters. All other lesions, including pathological lymph nodes, are recorded as non-target lesions and followed qualitatively.</w:t>
      </w:r>
    </w:p>
    <w:p w14:paraId="10B6B1A3" w14:textId="77777777" w:rsidR="008F65FC" w:rsidRDefault="00000000">
      <w:pPr>
        <w:pStyle w:val="V-BodyText"/>
      </w:pPr>
      <w:r>
        <w:rPr>
          <w:b/>
        </w:rPr>
        <w:t>Evaluation of Target Lesions</w:t>
      </w:r>
    </w:p>
    <w:p w14:paraId="4BC97E06" w14:textId="77777777" w:rsidR="008F65FC" w:rsidRDefault="00000000">
      <w:pPr>
        <w:pStyle w:val="V-BodyText"/>
      </w:pPr>
      <w:r>
        <w:t>Complete Response (CR): disappearance of all target lesions; any pathological lymph node (target or non-target) must have a reduction in short axis to less than 10 mm. Partial Response (PR): at least a 30% decrease in the sum of diameters of target lesions, taking as reference the baseline sum. Progressive Disease (PD): at least a 20% increase in the sum of diameters of target lesions, taking as reference the smallest sum on study (nadir), with an absolute increase of at least 5 mm; the appearance of one or more new lesions is also progression. Stable Disease (SD): neither sufficient shrinkage to qualify for PR nor sufficient increase to qualify for PD.</w:t>
      </w:r>
    </w:p>
    <w:p w14:paraId="0BF494C8" w14:textId="77777777" w:rsidR="008F65FC" w:rsidRDefault="00000000">
      <w:pPr>
        <w:pStyle w:val="V-BodyText"/>
      </w:pPr>
      <w:r>
        <w:rPr>
          <w:b/>
        </w:rPr>
        <w:t>Evaluation of Non-Target Lesions</w:t>
      </w:r>
    </w:p>
    <w:p w14:paraId="40FC8603" w14:textId="77777777" w:rsidR="008F65FC" w:rsidRDefault="00000000">
      <w:pPr>
        <w:pStyle w:val="V-BodyText"/>
      </w:pPr>
      <w:r>
        <w:t>Complete Response (CR): disappearance of all non-target lesions and normalization of tumor marker level; all lymph nodes must be non-pathological in size (short axis less than 10 mm). Non-CR/Non-PD: persistence of one or more non-target lesions and/or maintenance of tumor marker level above the normal limits. Progressive Disease (PD): unequivocal progression of existing non-target lesions.</w:t>
      </w:r>
    </w:p>
    <w:p w14:paraId="32ADF443" w14:textId="77777777" w:rsidR="008F65FC" w:rsidRDefault="00000000" w:rsidP="003B0130">
      <w:pPr>
        <w:pStyle w:val="V-BodyText"/>
        <w:keepNext/>
        <w:keepLines/>
      </w:pPr>
      <w:r>
        <w:rPr>
          <w:b/>
        </w:rPr>
        <w:lastRenderedPageBreak/>
        <w:t>Evaluation of Overall Response and Confirmation</w:t>
      </w:r>
    </w:p>
    <w:p w14:paraId="568079A4" w14:textId="2DCD5156" w:rsidR="003B0130" w:rsidRDefault="00000000" w:rsidP="003B0130">
      <w:pPr>
        <w:pStyle w:val="V-BodyText"/>
        <w:keepNext/>
        <w:keepLines/>
      </w:pPr>
      <w:r>
        <w:t>The overall response at each timepoint is derived from the target-lesion response, the non-target-lesion response, and the presence or absence of new lesions. For the objective response rate endpoint, a response of CR or PR is confirmed by a repeat assessment performed no fewer than 4 weeks after the criteria for response are first met. The best overall response is the best response recorded from the start of treatment until disease progression.</w:t>
      </w:r>
      <w:r w:rsidR="003B0130">
        <w:t xml:space="preserve"> </w:t>
      </w:r>
    </w:p>
    <w:p w14:paraId="38B62357" w14:textId="77777777" w:rsidR="003B0130" w:rsidRDefault="003B0130">
      <w:pPr>
        <w:spacing w:before="0" w:after="0" w:line="240" w:lineRule="auto"/>
        <w:rPr>
          <w:szCs w:val="24"/>
        </w:rPr>
      </w:pPr>
      <w:r>
        <w:br w:type="page"/>
      </w:r>
    </w:p>
    <w:p w14:paraId="19C7777A" w14:textId="29DB21EF" w:rsidR="008F65FC" w:rsidRDefault="005F45D2" w:rsidP="00E62252">
      <w:pPr>
        <w:pStyle w:val="Heading1un-numbered"/>
        <w:tabs>
          <w:tab w:val="clear" w:pos="1080"/>
          <w:tab w:val="left" w:pos="1800"/>
        </w:tabs>
        <w:ind w:left="1800" w:hanging="1800"/>
        <w:jc w:val="left"/>
      </w:pPr>
      <w:bookmarkStart w:id="106" w:name="_Toc233801729"/>
      <w:r>
        <w:lastRenderedPageBreak/>
        <w:t>Appendix</w:t>
      </w:r>
      <w:r w:rsidR="00E62252">
        <w:t> </w:t>
      </w:r>
      <w:r>
        <w:t>2:</w:t>
      </w:r>
      <w:r>
        <w:tab/>
        <w:t>Definition of Childbearing Potential and Contraception Requirements</w:t>
      </w:r>
      <w:bookmarkEnd w:id="106"/>
    </w:p>
    <w:p w14:paraId="143F3035" w14:textId="77777777" w:rsidR="008F65FC" w:rsidRDefault="00000000">
      <w:pPr>
        <w:pStyle w:val="V-BodyText"/>
      </w:pPr>
      <w:r>
        <w:rPr>
          <w:b/>
        </w:rPr>
        <w:t>Definition of Childbearing Potential</w:t>
      </w:r>
    </w:p>
    <w:p w14:paraId="57290D29" w14:textId="77777777" w:rsidR="008F65FC" w:rsidRDefault="00000000">
      <w:pPr>
        <w:pStyle w:val="V-BodyText"/>
      </w:pPr>
      <w:r>
        <w:t>A woman is considered of childbearing potential (WOCBP) following menarche and until becoming postmenopausal, unless permanently sterile. Permanent sterilization includes hysterectomy, bilateral salpingectomy, and bilateral oophorectomy. A postmenopausal state is defined as no menses for 12 months without an alternative medical cause; a follicle-stimulating hormone level in the postmenopausal range may be used to confirm a postmenopausal state in a woman not using hormonal contraception or hormone-replacement therapy.</w:t>
      </w:r>
    </w:p>
    <w:p w14:paraId="5CEAC8AA" w14:textId="77777777" w:rsidR="008F65FC" w:rsidRDefault="00000000">
      <w:pPr>
        <w:pStyle w:val="V-BodyText"/>
      </w:pPr>
      <w:r>
        <w:rPr>
          <w:b/>
        </w:rPr>
        <w:t>Contraception Requirements</w:t>
      </w:r>
    </w:p>
    <w:p w14:paraId="36211BBE" w14:textId="60B2946E" w:rsidR="003B0130" w:rsidRDefault="003B0130">
      <w:pPr>
        <w:pStyle w:val="V-BodyText"/>
      </w:pPr>
      <w:r>
        <w:t xml:space="preserve"> Women of childbearing potential must have a negative pregnancy test before the first dose and must agree to use a highly effective method of contraception from screening until the protocol-specified period after the last dose of study treatment. Highly effective methods (failure rate less than 1% per year with consistent and correct use) include:</w:t>
      </w:r>
    </w:p>
    <w:p w14:paraId="67C84D22" w14:textId="77777777" w:rsidR="008F65FC" w:rsidRDefault="00000000">
      <w:pPr>
        <w:pStyle w:val="V-BulletList1"/>
      </w:pPr>
      <w:r>
        <w:t>combined (estrogen- and progestogen-containing) hormonal contraception associated with inhibition of ovulation;</w:t>
      </w:r>
    </w:p>
    <w:p w14:paraId="0A440F16" w14:textId="77777777" w:rsidR="008F65FC" w:rsidRDefault="00000000">
      <w:pPr>
        <w:pStyle w:val="V-BulletList1"/>
      </w:pPr>
      <w:r>
        <w:t>progestogen-only hormonal contraception associated with inhibition of ovulation;</w:t>
      </w:r>
    </w:p>
    <w:p w14:paraId="70036A86" w14:textId="77777777" w:rsidR="008F65FC" w:rsidRDefault="00000000">
      <w:pPr>
        <w:pStyle w:val="V-BulletList1"/>
      </w:pPr>
      <w:r>
        <w:t>an intrauterine device;</w:t>
      </w:r>
    </w:p>
    <w:p w14:paraId="4E1A84F9" w14:textId="77777777" w:rsidR="008F65FC" w:rsidRDefault="00000000">
      <w:pPr>
        <w:pStyle w:val="V-BulletList1"/>
      </w:pPr>
      <w:r>
        <w:t>an intrauterine hormone-releasing system;</w:t>
      </w:r>
    </w:p>
    <w:p w14:paraId="6A6C2CAE" w14:textId="77777777" w:rsidR="008F65FC" w:rsidRDefault="00000000">
      <w:pPr>
        <w:pStyle w:val="V-BulletList1"/>
      </w:pPr>
      <w:r>
        <w:t>bilateral tubal occlusion;</w:t>
      </w:r>
    </w:p>
    <w:p w14:paraId="52FB0273" w14:textId="77777777" w:rsidR="008F65FC" w:rsidRDefault="00000000">
      <w:pPr>
        <w:pStyle w:val="V-BulletList1"/>
      </w:pPr>
      <w:r>
        <w:t>a vasectomized partner;</w:t>
      </w:r>
    </w:p>
    <w:p w14:paraId="0299DD8F" w14:textId="77777777" w:rsidR="008F65FC" w:rsidRDefault="00000000">
      <w:pPr>
        <w:pStyle w:val="V-BulletList1"/>
      </w:pPr>
      <w:r>
        <w:t>sexual abstinence when it is the preferred and usual lifestyle of the patient.</w:t>
      </w:r>
    </w:p>
    <w:p w14:paraId="63D55A04" w14:textId="77777777" w:rsidR="00BB2E94" w:rsidRDefault="00000000">
      <w:pPr>
        <w:pStyle w:val="V-BodyText"/>
      </w:pPr>
      <w:r>
        <w:t>Male patients with a partner of childbearing potential must use a condom and should not donate sperm during treatment and for the protocol-specified period after the last dose. Additional local requirements may apply.</w:t>
      </w:r>
    </w:p>
    <w:p w14:paraId="3DF5306E" w14:textId="77777777" w:rsidR="003B0130" w:rsidRDefault="003B0130">
      <w:pPr>
        <w:spacing w:before="0" w:after="0" w:line="240" w:lineRule="auto"/>
        <w:rPr>
          <w:szCs w:val="24"/>
        </w:rPr>
      </w:pPr>
      <w:r>
        <w:br w:type="page"/>
      </w:r>
    </w:p>
    <w:p w14:paraId="2F3216C6" w14:textId="020543C1" w:rsidR="008F65FC" w:rsidRDefault="005F45D2" w:rsidP="00E62252">
      <w:pPr>
        <w:pStyle w:val="Heading1un-numbered"/>
        <w:tabs>
          <w:tab w:val="clear" w:pos="1080"/>
          <w:tab w:val="left" w:pos="1800"/>
        </w:tabs>
        <w:ind w:left="1800" w:hanging="1800"/>
        <w:jc w:val="left"/>
      </w:pPr>
      <w:bookmarkStart w:id="107" w:name="_Toc233801730"/>
      <w:r>
        <w:lastRenderedPageBreak/>
        <w:t>Appendix</w:t>
      </w:r>
      <w:r w:rsidR="00E62252">
        <w:t> </w:t>
      </w:r>
      <w:r>
        <w:t>3:</w:t>
      </w:r>
      <w:r>
        <w:tab/>
        <w:t>Sample List of Excluded and Cautionary Medications</w:t>
      </w:r>
      <w:bookmarkEnd w:id="107"/>
    </w:p>
    <w:p w14:paraId="2FA08019" w14:textId="180D45F5" w:rsidR="008F65FC" w:rsidRDefault="00000000">
      <w:pPr>
        <w:pStyle w:val="V-BodyText"/>
      </w:pPr>
      <w:r>
        <w:t xml:space="preserve">The following are representative index inhibitors of the cytochrome P450 (CYP) enzymes relevant to the metabolism of study treatment, drawn from the FDA drug-drug interaction guidance. The list is illustrative and is not exhaustive; </w:t>
      </w:r>
      <w:r w:rsidR="003B0130">
        <w:t xml:space="preserve">see the most </w:t>
      </w:r>
      <w:r>
        <w:t xml:space="preserve">current FDA lists and the product information for each concomitant medication govern.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2"/>
        <w:gridCol w:w="4997"/>
        <w:gridCol w:w="3071"/>
      </w:tblGrid>
      <w:tr w:rsidR="006843D9" w14:paraId="25BAEC73" w14:textId="77777777" w:rsidTr="00B57F24">
        <w:tc>
          <w:tcPr>
            <w:tcW w:w="686" w:type="pct"/>
          </w:tcPr>
          <w:p w14:paraId="3B5F1493" w14:textId="77777777" w:rsidR="006843D9" w:rsidRDefault="00000000" w:rsidP="003B0130">
            <w:pPr>
              <w:pStyle w:val="V-tablerowheader"/>
            </w:pPr>
            <w:r w:rsidRPr="003B0130">
              <w:t>Enzyme</w:t>
            </w:r>
          </w:p>
        </w:tc>
        <w:tc>
          <w:tcPr>
            <w:tcW w:w="2672" w:type="pct"/>
          </w:tcPr>
          <w:p w14:paraId="49A52EE8" w14:textId="77777777" w:rsidR="006843D9" w:rsidRDefault="00000000" w:rsidP="003B0130">
            <w:pPr>
              <w:pStyle w:val="V-tableheader"/>
            </w:pPr>
            <w:r>
              <w:t>Strong Index Inhibitors</w:t>
            </w:r>
          </w:p>
        </w:tc>
        <w:tc>
          <w:tcPr>
            <w:tcW w:w="1642" w:type="pct"/>
          </w:tcPr>
          <w:p w14:paraId="61055C83" w14:textId="77777777" w:rsidR="006843D9" w:rsidRDefault="00000000" w:rsidP="003B0130">
            <w:pPr>
              <w:pStyle w:val="V-tableheader"/>
            </w:pPr>
            <w:r>
              <w:t>Moderate Index Inhibitors</w:t>
            </w:r>
          </w:p>
        </w:tc>
      </w:tr>
      <w:tr w:rsidR="006843D9" w14:paraId="51E0DF39" w14:textId="77777777" w:rsidTr="00B57F24">
        <w:tc>
          <w:tcPr>
            <w:tcW w:w="686" w:type="pct"/>
          </w:tcPr>
          <w:p w14:paraId="0F0DCFF9" w14:textId="77777777" w:rsidR="006843D9" w:rsidRPr="003B0130" w:rsidRDefault="00000000" w:rsidP="003B0130">
            <w:pPr>
              <w:pStyle w:val="V-tablecellleft"/>
            </w:pPr>
            <w:r w:rsidRPr="003B0130">
              <w:t>CYP3A4/5</w:t>
            </w:r>
          </w:p>
        </w:tc>
        <w:tc>
          <w:tcPr>
            <w:tcW w:w="2672" w:type="pct"/>
          </w:tcPr>
          <w:p w14:paraId="1FF02EEB" w14:textId="77777777" w:rsidR="006843D9" w:rsidRPr="003B0130" w:rsidRDefault="00000000" w:rsidP="003B0130">
            <w:pPr>
              <w:pStyle w:val="V-tablecellleft"/>
            </w:pPr>
            <w:r w:rsidRPr="003B0130">
              <w:t>boceprevir, cobicistat, danoprevir and ritonavir, elvitegravir and ritonavir, grapefruit juice, indinavir and ritonavir, itraconazole, ketoconazole, lopinavir and ritonavir, paritaprevir and ritonavir and (ombitasvir and/or dasabuvir), posaconazole, ritonavir, saquinavir and ritonavir, telaprevir, tipranavir and ritonavir, telithromycin, troleandomycin, voriconazole, clarithromycin, idelalisib, nefazodone, nelfinavir</w:t>
            </w:r>
          </w:p>
        </w:tc>
        <w:tc>
          <w:tcPr>
            <w:tcW w:w="1642" w:type="pct"/>
          </w:tcPr>
          <w:p w14:paraId="5C44AE55" w14:textId="77777777" w:rsidR="006843D9" w:rsidRPr="003B0130" w:rsidRDefault="00000000" w:rsidP="003B0130">
            <w:pPr>
              <w:pStyle w:val="V-tablecellleft"/>
            </w:pPr>
            <w:r w:rsidRPr="003B0130">
              <w:t>aprepitant, ciprofloxacin, conivaptan, crizotinib, cyclosporine, diltiazem, dronedarone, erythromycin, fluconazole, fluvoxamine, imatinib, tofisopam, verapamil</w:t>
            </w:r>
          </w:p>
        </w:tc>
      </w:tr>
      <w:tr w:rsidR="006843D9" w14:paraId="03694510" w14:textId="77777777" w:rsidTr="00B57F24">
        <w:tc>
          <w:tcPr>
            <w:tcW w:w="686" w:type="pct"/>
          </w:tcPr>
          <w:p w14:paraId="3AE08093" w14:textId="77777777" w:rsidR="006843D9" w:rsidRPr="003B0130" w:rsidRDefault="00000000" w:rsidP="003B0130">
            <w:pPr>
              <w:pStyle w:val="V-tablecellleft"/>
            </w:pPr>
            <w:r w:rsidRPr="003B0130">
              <w:t>CYP2C8</w:t>
            </w:r>
          </w:p>
        </w:tc>
        <w:tc>
          <w:tcPr>
            <w:tcW w:w="2672" w:type="pct"/>
          </w:tcPr>
          <w:p w14:paraId="51B14C56" w14:textId="77777777" w:rsidR="006843D9" w:rsidRPr="003B0130" w:rsidRDefault="00000000" w:rsidP="003B0130">
            <w:pPr>
              <w:pStyle w:val="V-tablecellleft"/>
            </w:pPr>
            <w:r w:rsidRPr="003B0130">
              <w:t>gemfibrozil</w:t>
            </w:r>
          </w:p>
        </w:tc>
        <w:tc>
          <w:tcPr>
            <w:tcW w:w="1642" w:type="pct"/>
          </w:tcPr>
          <w:p w14:paraId="19CA5D48" w14:textId="77777777" w:rsidR="006843D9" w:rsidRPr="003B0130" w:rsidRDefault="00000000" w:rsidP="003B0130">
            <w:pPr>
              <w:pStyle w:val="V-tablecellleft"/>
            </w:pPr>
            <w:r w:rsidRPr="003B0130">
              <w:t>clopidogrel, deferasirox, teriflunomide</w:t>
            </w:r>
          </w:p>
        </w:tc>
      </w:tr>
      <w:tr w:rsidR="006843D9" w14:paraId="0EC07C36" w14:textId="77777777" w:rsidTr="00B57F24">
        <w:tc>
          <w:tcPr>
            <w:tcW w:w="686" w:type="pct"/>
          </w:tcPr>
          <w:p w14:paraId="788B293C" w14:textId="77777777" w:rsidR="006843D9" w:rsidRPr="003B0130" w:rsidRDefault="00000000" w:rsidP="003B0130">
            <w:pPr>
              <w:pStyle w:val="V-tablecellleft"/>
            </w:pPr>
            <w:r w:rsidRPr="003B0130">
              <w:t>CYP2C9</w:t>
            </w:r>
          </w:p>
        </w:tc>
        <w:tc>
          <w:tcPr>
            <w:tcW w:w="2672" w:type="pct"/>
          </w:tcPr>
          <w:p w14:paraId="0DB9EC5E" w14:textId="77777777" w:rsidR="006843D9" w:rsidRPr="003B0130" w:rsidRDefault="00000000" w:rsidP="003B0130">
            <w:pPr>
              <w:pStyle w:val="V-tablecellleft"/>
            </w:pPr>
            <w:r w:rsidRPr="003B0130">
              <w:t>(none listed as a strong index inhibitor)</w:t>
            </w:r>
          </w:p>
        </w:tc>
        <w:tc>
          <w:tcPr>
            <w:tcW w:w="1642" w:type="pct"/>
          </w:tcPr>
          <w:p w14:paraId="30AD9882" w14:textId="77777777" w:rsidR="006843D9" w:rsidRPr="003B0130" w:rsidRDefault="00000000" w:rsidP="003B0130">
            <w:pPr>
              <w:pStyle w:val="V-tablecellleft"/>
            </w:pPr>
            <w:r w:rsidRPr="003B0130">
              <w:t>fluconazole, amiodarone, miconazole, piperine</w:t>
            </w:r>
          </w:p>
        </w:tc>
      </w:tr>
    </w:tbl>
    <w:p w14:paraId="7C2FE217" w14:textId="77777777" w:rsidR="00856DFA" w:rsidRDefault="00856DFA"/>
    <w:sectPr w:rsidR="00856DFA">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562F3" w14:textId="77777777" w:rsidR="009D7203" w:rsidRDefault="009D7203">
      <w:pPr>
        <w:spacing w:before="0" w:after="0" w:line="240" w:lineRule="auto"/>
      </w:pPr>
      <w:r>
        <w:separator/>
      </w:r>
    </w:p>
  </w:endnote>
  <w:endnote w:type="continuationSeparator" w:id="0">
    <w:p w14:paraId="27FCC4DB" w14:textId="77777777" w:rsidR="009D7203" w:rsidRDefault="009D72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Times New Roman (Headings CS)">
    <w:altName w:val="Times New Roman"/>
    <w:panose1 w:val="020B0604020202020204"/>
    <w:charset w:val="00"/>
    <w:family w:val="roman"/>
    <w:notTrueType/>
    <w:pitch w:val="default"/>
  </w:font>
  <w:font w:name="Times">
    <w:altName w:val="Times New Roma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03580" w14:textId="77777777" w:rsidR="0049561E" w:rsidRDefault="00495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69D6F" w14:textId="77777777" w:rsidR="008F65FC" w:rsidRDefault="00000000">
    <w:pPr>
      <w:pStyle w:val="Footer"/>
    </w:pPr>
    <w:r>
      <w:rPr>
        <w:sz w:val="20"/>
        <w:szCs w:val="20"/>
      </w:rPr>
      <w:t>Confidential</w:t>
    </w:r>
    <w:r>
      <w:rPr>
        <w:sz w:val="20"/>
        <w:szCs w:val="20"/>
      </w:rPr>
      <w:ptab w:relativeTo="margin" w:alignment="right" w:leader="none"/>
    </w: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47E7D" w14:textId="77777777" w:rsidR="0049561E" w:rsidRDefault="00495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2156E" w14:textId="77777777" w:rsidR="009D7203" w:rsidRDefault="009D7203">
      <w:pPr>
        <w:spacing w:before="0" w:after="0" w:line="240" w:lineRule="auto"/>
      </w:pPr>
      <w:r>
        <w:separator/>
      </w:r>
    </w:p>
  </w:footnote>
  <w:footnote w:type="continuationSeparator" w:id="0">
    <w:p w14:paraId="7D901CE8" w14:textId="77777777" w:rsidR="009D7203" w:rsidRDefault="009D72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CBD7B" w14:textId="77777777" w:rsidR="0049561E" w:rsidRDefault="00495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32EE6" w14:textId="77777777" w:rsidR="008F65FC" w:rsidRDefault="00000000">
    <w:pPr>
      <w:pStyle w:val="Header"/>
      <w:spacing w:after="0"/>
    </w:pPr>
    <w:r>
      <w:t>Clinical Study Protocol</w:t>
    </w:r>
    <w:r>
      <w:ptab w:relativeTo="margin" w:alignment="right" w:leader="none"/>
    </w:r>
    <w:r>
      <w:t>Sponsor Pharmaceuticals Inc.</w:t>
    </w:r>
  </w:p>
  <w:p w14:paraId="47BB0260" w14:textId="77777777" w:rsidR="008F65FC" w:rsidRDefault="00B25809">
    <w:pPr>
      <w:pStyle w:val="Header"/>
      <w:pBdr>
        <w:bottom w:val="single" w:sz="6" w:space="1" w:color="000000"/>
      </w:pBdr>
    </w:pPr>
    <w:r>
      <w:t>Study DRUG‑123-001</w:t>
    </w:r>
    <w:r>
      <w:ptab w:relativeTo="margin" w:alignment="right" w:leader="none"/>
    </w:r>
    <w:r>
      <w:t>Version 1.0 (XX MON 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86C3" w14:textId="77777777" w:rsidR="0049561E" w:rsidRDefault="00495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14BD8"/>
    <w:multiLevelType w:val="hybridMultilevel"/>
    <w:tmpl w:val="F53215F2"/>
    <w:lvl w:ilvl="0" w:tplc="4C0AA3AE">
      <w:start w:val="1"/>
      <w:numFmt w:val="bullet"/>
      <w:pStyle w:val="V-SynopsisBullet2"/>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1E7C6B"/>
    <w:multiLevelType w:val="multilevel"/>
    <w:tmpl w:val="F4D2D9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465600"/>
    <w:multiLevelType w:val="hybridMultilevel"/>
    <w:tmpl w:val="184C815A"/>
    <w:lvl w:ilvl="0" w:tplc="E1D68342">
      <w:start w:val="1"/>
      <w:numFmt w:val="lowerLetter"/>
      <w:lvlText w:val="%1)"/>
      <w:lvlJc w:val="left"/>
      <w:pPr>
        <w:ind w:left="1440" w:hanging="360"/>
      </w:pPr>
    </w:lvl>
    <w:lvl w:ilvl="1" w:tplc="43F69E18">
      <w:start w:val="1"/>
      <w:numFmt w:val="lowerRoman"/>
      <w:lvlText w:val="%2."/>
      <w:lvlJc w:val="right"/>
      <w:pPr>
        <w:ind w:left="2399" w:hanging="360"/>
      </w:p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3" w15:restartNumberingAfterBreak="0">
    <w:nsid w:val="19AA3E4F"/>
    <w:multiLevelType w:val="hybridMultilevel"/>
    <w:tmpl w:val="2842BAD0"/>
    <w:lvl w:ilvl="0" w:tplc="95D81E1A">
      <w:start w:val="1"/>
      <w:numFmt w:val="bullet"/>
      <w:lvlText w:val=""/>
      <w:lvlJc w:val="left"/>
      <w:pPr>
        <w:ind w:left="720" w:firstLine="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102FCC"/>
    <w:multiLevelType w:val="multilevel"/>
    <w:tmpl w:val="D81C498E"/>
    <w:lvl w:ilvl="0">
      <w:start w:val="1"/>
      <w:numFmt w:val="decimal"/>
      <w:pStyle w:val="V-NumberedList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0CF5B85"/>
    <w:multiLevelType w:val="multilevel"/>
    <w:tmpl w:val="692883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2210D30"/>
    <w:multiLevelType w:val="multilevel"/>
    <w:tmpl w:val="A1E4247A"/>
    <w:lvl w:ilvl="0">
      <w:start w:val="1"/>
      <w:numFmt w:val="decimal"/>
      <w:pStyle w:val="V-heading1"/>
      <w:lvlText w:val="%1"/>
      <w:lvlJc w:val="left"/>
      <w:pPr>
        <w:tabs>
          <w:tab w:val="num" w:pos="0"/>
        </w:tabs>
        <w:ind w:left="0" w:firstLine="0"/>
      </w:pPr>
    </w:lvl>
    <w:lvl w:ilvl="1">
      <w:start w:val="1"/>
      <w:numFmt w:val="decimal"/>
      <w:pStyle w:val="V-heading2"/>
      <w:lvlText w:val="%1.%2"/>
      <w:lvlJc w:val="left"/>
      <w:pPr>
        <w:tabs>
          <w:tab w:val="num" w:pos="0"/>
        </w:tabs>
        <w:ind w:left="194" w:hanging="14"/>
      </w:pPr>
    </w:lvl>
    <w:lvl w:ilvl="2">
      <w:start w:val="1"/>
      <w:numFmt w:val="decimal"/>
      <w:pStyle w:val="V-heading3"/>
      <w:lvlText w:val="%1.%2.%3"/>
      <w:lvlJc w:val="left"/>
      <w:pPr>
        <w:tabs>
          <w:tab w:val="num" w:pos="0"/>
        </w:tabs>
        <w:ind w:left="194" w:hanging="14"/>
      </w:pPr>
    </w:lvl>
    <w:lvl w:ilvl="3">
      <w:start w:val="1"/>
      <w:numFmt w:val="decimal"/>
      <w:pStyle w:val="V-heading4"/>
      <w:lvlText w:val="%1.%2.%3.%4"/>
      <w:lvlJc w:val="left"/>
      <w:pPr>
        <w:tabs>
          <w:tab w:val="num" w:pos="0"/>
        </w:tabs>
        <w:ind w:left="1224" w:hanging="864"/>
      </w:pPr>
    </w:lvl>
    <w:lvl w:ilvl="4">
      <w:start w:val="1"/>
      <w:numFmt w:val="decimal"/>
      <w:pStyle w:val="V-heading5"/>
      <w:lvlText w:val="%1.%2.%3.%4.%5"/>
      <w:lvlJc w:val="left"/>
      <w:pPr>
        <w:tabs>
          <w:tab w:val="num" w:pos="0"/>
        </w:tabs>
        <w:ind w:left="1368" w:hanging="1008"/>
      </w:pPr>
    </w:lvl>
    <w:lvl w:ilvl="5">
      <w:start w:val="1"/>
      <w:numFmt w:val="decimal"/>
      <w:pStyle w:val="V-heading6"/>
      <w:lvlText w:val="%1.%2.%3.%4.%5.%6"/>
      <w:lvlJc w:val="left"/>
      <w:pPr>
        <w:tabs>
          <w:tab w:val="num" w:pos="0"/>
        </w:tabs>
        <w:ind w:left="1512" w:hanging="1152"/>
      </w:pPr>
    </w:lvl>
    <w:lvl w:ilvl="6">
      <w:start w:val="1"/>
      <w:numFmt w:val="decimal"/>
      <w:pStyle w:val="V-heading7"/>
      <w:lvlText w:val="%1.%2.%3.%4.%5.%6.%7"/>
      <w:lvlJc w:val="left"/>
      <w:pPr>
        <w:tabs>
          <w:tab w:val="num" w:pos="0"/>
        </w:tabs>
        <w:ind w:left="1656" w:hanging="1296"/>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944" w:hanging="1584"/>
      </w:pPr>
    </w:lvl>
  </w:abstractNum>
  <w:abstractNum w:abstractNumId="7" w15:restartNumberingAfterBreak="0">
    <w:nsid w:val="23857133"/>
    <w:multiLevelType w:val="hybridMultilevel"/>
    <w:tmpl w:val="E9085A64"/>
    <w:lvl w:ilvl="0" w:tplc="2EA6EA1E">
      <w:start w:val="1"/>
      <w:numFmt w:val="bullet"/>
      <w:pStyle w:val="V-SynopsisBullet3"/>
      <w:lvlText w:val=""/>
      <w:lvlJc w:val="left"/>
      <w:pPr>
        <w:ind w:left="0" w:firstLine="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CC222E"/>
    <w:multiLevelType w:val="hybridMultilevel"/>
    <w:tmpl w:val="13E6D0EE"/>
    <w:lvl w:ilvl="0" w:tplc="D2A0BBA8">
      <w:start w:val="1"/>
      <w:numFmt w:val="bullet"/>
      <w:pStyle w:val="SynopsisTableBulletOpen"/>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807B82"/>
    <w:multiLevelType w:val="multilevel"/>
    <w:tmpl w:val="F7BCA2F6"/>
    <w:lvl w:ilvl="0">
      <w:start w:val="1"/>
      <w:numFmt w:val="bullet"/>
      <w:pStyle w:val="V-BulletLis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FF61CD1"/>
    <w:multiLevelType w:val="multilevel"/>
    <w:tmpl w:val="82B839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20E0705"/>
    <w:multiLevelType w:val="multilevel"/>
    <w:tmpl w:val="F1AA9C2E"/>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6866809"/>
    <w:multiLevelType w:val="multilevel"/>
    <w:tmpl w:val="B7B077F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6A645F3"/>
    <w:multiLevelType w:val="multilevel"/>
    <w:tmpl w:val="6B9A4E34"/>
    <w:lvl w:ilvl="0">
      <w:start w:val="1"/>
      <w:numFmt w:val="lowerRoman"/>
      <w:pStyle w:val="V-numberedlist3"/>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DB6206E"/>
    <w:multiLevelType w:val="multilevel"/>
    <w:tmpl w:val="875A1B72"/>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F7641A9"/>
    <w:multiLevelType w:val="multilevel"/>
    <w:tmpl w:val="268040E8"/>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6" w15:restartNumberingAfterBreak="0">
    <w:nsid w:val="4E9D2EFE"/>
    <w:multiLevelType w:val="hybridMultilevel"/>
    <w:tmpl w:val="E020E6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50E05"/>
    <w:multiLevelType w:val="hybridMultilevel"/>
    <w:tmpl w:val="947E4702"/>
    <w:lvl w:ilvl="0" w:tplc="8C365A7C">
      <w:start w:val="1"/>
      <w:numFmt w:val="lowerLetter"/>
      <w:pStyle w:val="V-table-footnot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B40EE3"/>
    <w:multiLevelType w:val="multilevel"/>
    <w:tmpl w:val="A2DAEF80"/>
    <w:lvl w:ilvl="0">
      <w:start w:val="1"/>
      <w:numFmt w:val="bullet"/>
      <w:pStyle w:val="V-bulletedlist3"/>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1350244"/>
    <w:multiLevelType w:val="hybridMultilevel"/>
    <w:tmpl w:val="DB46B172"/>
    <w:lvl w:ilvl="0" w:tplc="0BCCDF52">
      <w:start w:val="1"/>
      <w:numFmt w:val="bullet"/>
      <w:pStyle w:val="Synopsis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F5502"/>
    <w:multiLevelType w:val="multilevel"/>
    <w:tmpl w:val="1092EC86"/>
    <w:lvl w:ilvl="0">
      <w:start w:val="1"/>
      <w:numFmt w:val="lowerLetter"/>
      <w:pStyle w:val="V-numberedlist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A90666D"/>
    <w:multiLevelType w:val="multilevel"/>
    <w:tmpl w:val="4CAA9B08"/>
    <w:lvl w:ilvl="0">
      <w:start w:val="1"/>
      <w:numFmt w:val="bullet"/>
      <w:pStyle w:val="V-bulletedlist2"/>
      <w:lvlText w:val="o"/>
      <w:lvlJc w:val="left"/>
      <w:pPr>
        <w:tabs>
          <w:tab w:val="num" w:pos="0"/>
        </w:tabs>
        <w:ind w:left="720" w:hanging="360"/>
      </w:pPr>
      <w:rPr>
        <w:rFonts w:ascii="Courier New" w:hAnsi="Courier New" w:cs="Courier New"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E0F78B7"/>
    <w:multiLevelType w:val="multilevel"/>
    <w:tmpl w:val="9BAC7E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43F67CF"/>
    <w:multiLevelType w:val="hybridMultilevel"/>
    <w:tmpl w:val="FE5E0E4A"/>
    <w:lvl w:ilvl="0" w:tplc="A4364302">
      <w:start w:val="1"/>
      <w:numFmt w:val="bullet"/>
      <w:pStyle w:val="V-Synopsis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4276B"/>
    <w:multiLevelType w:val="hybridMultilevel"/>
    <w:tmpl w:val="B8E255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3757B2"/>
    <w:multiLevelType w:val="hybridMultilevel"/>
    <w:tmpl w:val="C6761568"/>
    <w:lvl w:ilvl="0" w:tplc="512208D8">
      <w:start w:val="1"/>
      <w:numFmt w:val="decimal"/>
      <w:pStyle w:val="V-SynopsisNumberedList1"/>
      <w:lvlText w:val="%1."/>
      <w:lvlJc w:val="left"/>
      <w:pPr>
        <w:ind w:left="720" w:hanging="360"/>
      </w:pPr>
    </w:lvl>
    <w:lvl w:ilvl="1" w:tplc="04090019">
      <w:start w:val="1"/>
      <w:numFmt w:val="lowerLetter"/>
      <w:pStyle w:val="V-SynopsisNumberedlist2"/>
      <w:lvlText w:val="%2."/>
      <w:lvlJc w:val="left"/>
      <w:pPr>
        <w:ind w:left="1440" w:hanging="360"/>
      </w:pPr>
    </w:lvl>
    <w:lvl w:ilvl="2" w:tplc="0409001B">
      <w:start w:val="1"/>
      <w:numFmt w:val="lowerRoman"/>
      <w:pStyle w:val="V-synopsisNumberedList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4541064">
    <w:abstractNumId w:val="6"/>
  </w:num>
  <w:num w:numId="2" w16cid:durableId="1956130057">
    <w:abstractNumId w:val="12"/>
  </w:num>
  <w:num w:numId="3" w16cid:durableId="1838299643">
    <w:abstractNumId w:val="14"/>
  </w:num>
  <w:num w:numId="4" w16cid:durableId="577785203">
    <w:abstractNumId w:val="4"/>
  </w:num>
  <w:num w:numId="5" w16cid:durableId="107240514">
    <w:abstractNumId w:val="20"/>
  </w:num>
  <w:num w:numId="6" w16cid:durableId="2054841141">
    <w:abstractNumId w:val="13"/>
  </w:num>
  <w:num w:numId="7" w16cid:durableId="1975483156">
    <w:abstractNumId w:val="9"/>
  </w:num>
  <w:num w:numId="8" w16cid:durableId="1248543332">
    <w:abstractNumId w:val="21"/>
  </w:num>
  <w:num w:numId="9" w16cid:durableId="204105873">
    <w:abstractNumId w:val="18"/>
  </w:num>
  <w:num w:numId="10" w16cid:durableId="2014406960">
    <w:abstractNumId w:val="10"/>
  </w:num>
  <w:num w:numId="11" w16cid:durableId="861170962">
    <w:abstractNumId w:val="1"/>
  </w:num>
  <w:num w:numId="12" w16cid:durableId="974020129">
    <w:abstractNumId w:val="22"/>
  </w:num>
  <w:num w:numId="13" w16cid:durableId="1967466676">
    <w:abstractNumId w:val="11"/>
  </w:num>
  <w:num w:numId="14" w16cid:durableId="566721061">
    <w:abstractNumId w:val="5"/>
  </w:num>
  <w:num w:numId="15" w16cid:durableId="1084305097">
    <w:abstractNumId w:val="4"/>
    <w:lvlOverride w:ilvl="0">
      <w:startOverride w:val="1"/>
    </w:lvlOverride>
  </w:num>
  <w:num w:numId="16" w16cid:durableId="1580480074">
    <w:abstractNumId w:val="20"/>
    <w:lvlOverride w:ilvl="0">
      <w:startOverride w:val="1"/>
    </w:lvlOverride>
  </w:num>
  <w:num w:numId="17" w16cid:durableId="1193614928">
    <w:abstractNumId w:val="13"/>
    <w:lvlOverride w:ilvl="0">
      <w:startOverride w:val="1"/>
    </w:lvlOverride>
  </w:num>
  <w:num w:numId="18" w16cid:durableId="815297820">
    <w:abstractNumId w:val="4"/>
    <w:lvlOverride w:ilvl="0">
      <w:startOverride w:val="1"/>
    </w:lvlOverride>
  </w:num>
  <w:num w:numId="19" w16cid:durableId="1919557795">
    <w:abstractNumId w:val="2"/>
  </w:num>
  <w:num w:numId="20" w16cid:durableId="956252937">
    <w:abstractNumId w:val="25"/>
  </w:num>
  <w:num w:numId="21" w16cid:durableId="1732190393">
    <w:abstractNumId w:val="25"/>
    <w:lvlOverride w:ilvl="0">
      <w:startOverride w:val="1"/>
    </w:lvlOverride>
  </w:num>
  <w:num w:numId="22" w16cid:durableId="1880698475">
    <w:abstractNumId w:val="2"/>
    <w:lvlOverride w:ilvl="0">
      <w:startOverride w:val="1"/>
    </w:lvlOverride>
  </w:num>
  <w:num w:numId="23" w16cid:durableId="1634140322">
    <w:abstractNumId w:val="2"/>
    <w:lvlOverride w:ilvl="0">
      <w:startOverride w:val="1"/>
    </w:lvlOverride>
  </w:num>
  <w:num w:numId="24" w16cid:durableId="346836382">
    <w:abstractNumId w:val="25"/>
    <w:lvlOverride w:ilvl="0">
      <w:startOverride w:val="1"/>
    </w:lvlOverride>
  </w:num>
  <w:num w:numId="25" w16cid:durableId="1802309816">
    <w:abstractNumId w:val="2"/>
    <w:lvlOverride w:ilvl="0">
      <w:startOverride w:val="1"/>
    </w:lvlOverride>
  </w:num>
  <w:num w:numId="26" w16cid:durableId="1339768565">
    <w:abstractNumId w:val="2"/>
    <w:lvlOverride w:ilvl="0">
      <w:startOverride w:val="1"/>
    </w:lvlOverride>
  </w:num>
  <w:num w:numId="27" w16cid:durableId="1606306926">
    <w:abstractNumId w:val="2"/>
    <w:lvlOverride w:ilvl="0">
      <w:startOverride w:val="1"/>
    </w:lvlOverride>
  </w:num>
  <w:num w:numId="28" w16cid:durableId="712312010">
    <w:abstractNumId w:val="2"/>
    <w:lvlOverride w:ilvl="0">
      <w:startOverride w:val="1"/>
    </w:lvlOverride>
  </w:num>
  <w:num w:numId="29" w16cid:durableId="1321350763">
    <w:abstractNumId w:val="23"/>
  </w:num>
  <w:num w:numId="30" w16cid:durableId="1459959136">
    <w:abstractNumId w:val="0"/>
  </w:num>
  <w:num w:numId="31" w16cid:durableId="786892363">
    <w:abstractNumId w:val="3"/>
  </w:num>
  <w:num w:numId="32" w16cid:durableId="2066636211">
    <w:abstractNumId w:val="7"/>
  </w:num>
  <w:num w:numId="33" w16cid:durableId="1055467857">
    <w:abstractNumId w:val="17"/>
  </w:num>
  <w:num w:numId="34" w16cid:durableId="889804723">
    <w:abstractNumId w:val="25"/>
    <w:lvlOverride w:ilvl="0">
      <w:startOverride w:val="1"/>
    </w:lvlOverride>
  </w:num>
  <w:num w:numId="35" w16cid:durableId="222182786">
    <w:abstractNumId w:val="24"/>
  </w:num>
  <w:num w:numId="36" w16cid:durableId="2125541077">
    <w:abstractNumId w:val="16"/>
  </w:num>
  <w:num w:numId="37" w16cid:durableId="2101484109">
    <w:abstractNumId w:val="25"/>
  </w:num>
  <w:num w:numId="38" w16cid:durableId="1080516710">
    <w:abstractNumId w:val="25"/>
  </w:num>
  <w:num w:numId="39" w16cid:durableId="981038201">
    <w:abstractNumId w:val="25"/>
  </w:num>
  <w:num w:numId="40" w16cid:durableId="2092922615">
    <w:abstractNumId w:val="4"/>
  </w:num>
  <w:num w:numId="41" w16cid:durableId="1232543137">
    <w:abstractNumId w:val="25"/>
    <w:lvlOverride w:ilvl="0">
      <w:startOverride w:val="1"/>
    </w:lvlOverride>
  </w:num>
  <w:num w:numId="42" w16cid:durableId="933783217">
    <w:abstractNumId w:val="25"/>
    <w:lvlOverride w:ilvl="0">
      <w:startOverride w:val="1"/>
    </w:lvlOverride>
  </w:num>
  <w:num w:numId="43" w16cid:durableId="1067072583">
    <w:abstractNumId w:val="25"/>
    <w:lvlOverride w:ilvl="0">
      <w:startOverride w:val="1"/>
    </w:lvlOverride>
  </w:num>
  <w:num w:numId="44" w16cid:durableId="1426997223">
    <w:abstractNumId w:val="15"/>
  </w:num>
  <w:num w:numId="45" w16cid:durableId="1856963177">
    <w:abstractNumId w:val="8"/>
  </w:num>
  <w:num w:numId="46" w16cid:durableId="1257328483">
    <w:abstractNumId w:val="19"/>
  </w:num>
  <w:num w:numId="47" w16cid:durableId="146751504">
    <w:abstractNumId w:val="25"/>
    <w:lvlOverride w:ilvl="0">
      <w:startOverride w:val="1"/>
    </w:lvlOverride>
  </w:num>
  <w:num w:numId="48" w16cid:durableId="1853374870">
    <w:abstractNumId w:val="25"/>
    <w:lvlOverride w:ilvl="0">
      <w:startOverride w:val="1"/>
    </w:lvlOverride>
  </w:num>
  <w:num w:numId="49" w16cid:durableId="1200898245">
    <w:abstractNumId w:val="25"/>
    <w:lvlOverride w:ilvl="0">
      <w:startOverride w:val="1"/>
    </w:lvlOverride>
  </w:num>
  <w:num w:numId="50" w16cid:durableId="460418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DD"/>
    <w:rsid w:val="000307A2"/>
    <w:rsid w:val="00046DEF"/>
    <w:rsid w:val="00075B82"/>
    <w:rsid w:val="00075DB5"/>
    <w:rsid w:val="000866F7"/>
    <w:rsid w:val="000D633D"/>
    <w:rsid w:val="000E48FF"/>
    <w:rsid w:val="000E7EE1"/>
    <w:rsid w:val="000F2A14"/>
    <w:rsid w:val="000F5CB6"/>
    <w:rsid w:val="000F6906"/>
    <w:rsid w:val="00153D5F"/>
    <w:rsid w:val="00195218"/>
    <w:rsid w:val="001C7824"/>
    <w:rsid w:val="00202BCD"/>
    <w:rsid w:val="00213698"/>
    <w:rsid w:val="002149EE"/>
    <w:rsid w:val="002201FC"/>
    <w:rsid w:val="00233AB8"/>
    <w:rsid w:val="00244AFC"/>
    <w:rsid w:val="00260FF1"/>
    <w:rsid w:val="00272496"/>
    <w:rsid w:val="00280BDA"/>
    <w:rsid w:val="002910AE"/>
    <w:rsid w:val="00292A9B"/>
    <w:rsid w:val="002B26B5"/>
    <w:rsid w:val="002B36E2"/>
    <w:rsid w:val="002E697B"/>
    <w:rsid w:val="00327122"/>
    <w:rsid w:val="0035600B"/>
    <w:rsid w:val="003843B2"/>
    <w:rsid w:val="0039319D"/>
    <w:rsid w:val="0039590A"/>
    <w:rsid w:val="003A2E2C"/>
    <w:rsid w:val="003B0130"/>
    <w:rsid w:val="003D4430"/>
    <w:rsid w:val="003E5339"/>
    <w:rsid w:val="004314F7"/>
    <w:rsid w:val="00446CDA"/>
    <w:rsid w:val="00452F4D"/>
    <w:rsid w:val="00456090"/>
    <w:rsid w:val="0049561E"/>
    <w:rsid w:val="004A41A9"/>
    <w:rsid w:val="004A6590"/>
    <w:rsid w:val="004D0BC1"/>
    <w:rsid w:val="004D5546"/>
    <w:rsid w:val="004F6B38"/>
    <w:rsid w:val="0051567B"/>
    <w:rsid w:val="00521AB3"/>
    <w:rsid w:val="00522800"/>
    <w:rsid w:val="00544739"/>
    <w:rsid w:val="00551A08"/>
    <w:rsid w:val="005552F9"/>
    <w:rsid w:val="00567FF0"/>
    <w:rsid w:val="00570A18"/>
    <w:rsid w:val="0059020F"/>
    <w:rsid w:val="005C24FA"/>
    <w:rsid w:val="005D3FB6"/>
    <w:rsid w:val="005F45D2"/>
    <w:rsid w:val="0061779B"/>
    <w:rsid w:val="00621C80"/>
    <w:rsid w:val="00636148"/>
    <w:rsid w:val="006409A9"/>
    <w:rsid w:val="0065324A"/>
    <w:rsid w:val="00653DE8"/>
    <w:rsid w:val="00653F86"/>
    <w:rsid w:val="00665FAE"/>
    <w:rsid w:val="00670EF2"/>
    <w:rsid w:val="006843D9"/>
    <w:rsid w:val="00697A3E"/>
    <w:rsid w:val="006B2E81"/>
    <w:rsid w:val="006D7C99"/>
    <w:rsid w:val="006E2CAD"/>
    <w:rsid w:val="006F194B"/>
    <w:rsid w:val="00715B6F"/>
    <w:rsid w:val="00734CBA"/>
    <w:rsid w:val="00740A52"/>
    <w:rsid w:val="007530DC"/>
    <w:rsid w:val="00773471"/>
    <w:rsid w:val="00774E4C"/>
    <w:rsid w:val="0078002C"/>
    <w:rsid w:val="00780E4E"/>
    <w:rsid w:val="007C2195"/>
    <w:rsid w:val="007F7D80"/>
    <w:rsid w:val="0080093E"/>
    <w:rsid w:val="0081206C"/>
    <w:rsid w:val="00824B59"/>
    <w:rsid w:val="00833BB7"/>
    <w:rsid w:val="00856DFA"/>
    <w:rsid w:val="0086448C"/>
    <w:rsid w:val="008671ED"/>
    <w:rsid w:val="008731D9"/>
    <w:rsid w:val="008B45FD"/>
    <w:rsid w:val="008F65FC"/>
    <w:rsid w:val="00904A04"/>
    <w:rsid w:val="00932FF6"/>
    <w:rsid w:val="00955275"/>
    <w:rsid w:val="00980EC1"/>
    <w:rsid w:val="00987BEB"/>
    <w:rsid w:val="009A4B10"/>
    <w:rsid w:val="009A5852"/>
    <w:rsid w:val="009D7203"/>
    <w:rsid w:val="009E1D67"/>
    <w:rsid w:val="009E54F6"/>
    <w:rsid w:val="00A0421E"/>
    <w:rsid w:val="00A06EB3"/>
    <w:rsid w:val="00A1661D"/>
    <w:rsid w:val="00A25EF6"/>
    <w:rsid w:val="00A262E2"/>
    <w:rsid w:val="00A26610"/>
    <w:rsid w:val="00A50788"/>
    <w:rsid w:val="00A57132"/>
    <w:rsid w:val="00A60428"/>
    <w:rsid w:val="00A76631"/>
    <w:rsid w:val="00A8228A"/>
    <w:rsid w:val="00AA3039"/>
    <w:rsid w:val="00AA4494"/>
    <w:rsid w:val="00AA75B0"/>
    <w:rsid w:val="00AA7C62"/>
    <w:rsid w:val="00AA7CA9"/>
    <w:rsid w:val="00B02C01"/>
    <w:rsid w:val="00B02C5D"/>
    <w:rsid w:val="00B06EDD"/>
    <w:rsid w:val="00B133CE"/>
    <w:rsid w:val="00B15397"/>
    <w:rsid w:val="00B25809"/>
    <w:rsid w:val="00B42BA4"/>
    <w:rsid w:val="00B47972"/>
    <w:rsid w:val="00B57F24"/>
    <w:rsid w:val="00B8338C"/>
    <w:rsid w:val="00B86B2B"/>
    <w:rsid w:val="00B926E9"/>
    <w:rsid w:val="00B92EB7"/>
    <w:rsid w:val="00B959AA"/>
    <w:rsid w:val="00BA20DE"/>
    <w:rsid w:val="00BB2E94"/>
    <w:rsid w:val="00BF503A"/>
    <w:rsid w:val="00C02238"/>
    <w:rsid w:val="00C062CF"/>
    <w:rsid w:val="00C15D34"/>
    <w:rsid w:val="00C3267B"/>
    <w:rsid w:val="00C35D29"/>
    <w:rsid w:val="00C764A9"/>
    <w:rsid w:val="00C974A0"/>
    <w:rsid w:val="00CD0A86"/>
    <w:rsid w:val="00CE6191"/>
    <w:rsid w:val="00D104BB"/>
    <w:rsid w:val="00D43AE4"/>
    <w:rsid w:val="00D701A0"/>
    <w:rsid w:val="00D829B7"/>
    <w:rsid w:val="00DB0605"/>
    <w:rsid w:val="00DD6CD6"/>
    <w:rsid w:val="00DF57B7"/>
    <w:rsid w:val="00E2799B"/>
    <w:rsid w:val="00E50AF3"/>
    <w:rsid w:val="00E51C6C"/>
    <w:rsid w:val="00E52900"/>
    <w:rsid w:val="00E62252"/>
    <w:rsid w:val="00E74489"/>
    <w:rsid w:val="00E94748"/>
    <w:rsid w:val="00EA1A99"/>
    <w:rsid w:val="00EC061C"/>
    <w:rsid w:val="00EC11F7"/>
    <w:rsid w:val="00EE32A8"/>
    <w:rsid w:val="00F119FC"/>
    <w:rsid w:val="00F45580"/>
    <w:rsid w:val="00F614C8"/>
    <w:rsid w:val="00F65C9C"/>
    <w:rsid w:val="00F8069C"/>
    <w:rsid w:val="00FB320D"/>
    <w:rsid w:val="00FE46AC"/>
    <w:rsid w:val="00FF088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99AA7"/>
  <w15:docId w15:val="{A45B88EE-7F46-8F44-A88E-B381353F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D7"/>
    <w:pPr>
      <w:spacing w:before="240" w:after="240"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DB3917"/>
    <w:rPr>
      <w:sz w:val="16"/>
      <w:szCs w:val="16"/>
    </w:rPr>
  </w:style>
  <w:style w:type="character" w:customStyle="1" w:styleId="HeaderChar">
    <w:name w:val="Header Char"/>
    <w:basedOn w:val="DefaultParagraphFont"/>
    <w:link w:val="Header"/>
    <w:uiPriority w:val="99"/>
    <w:qFormat/>
    <w:rsid w:val="00654672"/>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484A40"/>
    <w:rPr>
      <w:rFonts w:ascii="Times New Roman" w:hAnsi="Times New Roman"/>
      <w:sz w:val="24"/>
    </w:rPr>
  </w:style>
  <w:style w:type="character" w:styleId="Hyperlink">
    <w:name w:val="Hyperlink"/>
    <w:basedOn w:val="DefaultParagraphFont"/>
    <w:uiPriority w:val="99"/>
    <w:unhideWhenUsed/>
    <w:rsid w:val="00324857"/>
    <w:rPr>
      <w:color w:val="0000FF"/>
      <w:u w:val="none"/>
    </w:rPr>
  </w:style>
  <w:style w:type="character" w:customStyle="1" w:styleId="CommentSubjectChar">
    <w:name w:val="Comment Subject Char"/>
    <w:basedOn w:val="DefaultParagraphFont"/>
    <w:link w:val="CommentSubject"/>
    <w:uiPriority w:val="99"/>
    <w:semiHidden/>
    <w:qFormat/>
    <w:rsid w:val="007E612F"/>
    <w:rPr>
      <w:rFonts w:ascii="Times New Roman" w:eastAsia="Times New Roman" w:hAnsi="Times New Roman" w:cs="Times New Roman"/>
      <w:b/>
      <w:bCs/>
      <w:sz w:val="20"/>
      <w:szCs w:val="20"/>
    </w:rPr>
  </w:style>
  <w:style w:type="character" w:customStyle="1" w:styleId="FootnoteTextChar">
    <w:name w:val="Footnote Text Char"/>
    <w:basedOn w:val="DefaultParagraphFont"/>
    <w:link w:val="FootnoteText"/>
    <w:uiPriority w:val="99"/>
    <w:semiHidden/>
    <w:qFormat/>
    <w:rsid w:val="00477A6D"/>
    <w:rPr>
      <w:rFonts w:ascii="Times New Roman" w:hAnsi="Times New Roman"/>
      <w:sz w:val="20"/>
      <w:szCs w:val="20"/>
    </w:rPr>
  </w:style>
  <w:style w:type="character" w:customStyle="1" w:styleId="FootnoteCharactersuser">
    <w:name w:val="Footnote Characters (user)"/>
    <w:uiPriority w:val="99"/>
    <w:semiHidden/>
    <w:unhideWhenUsed/>
    <w:qFormat/>
    <w:rsid w:val="00477A6D"/>
    <w:rPr>
      <w:vertAlign w:val="superscript"/>
    </w:rPr>
  </w:style>
  <w:style w:type="paragraph" w:customStyle="1" w:styleId="V-synopsisNumberedList3">
    <w:name w:val="V-synopsis_NumberedList3"/>
    <w:basedOn w:val="Normal"/>
    <w:qFormat/>
    <w:rsid w:val="000307A2"/>
    <w:pPr>
      <w:numPr>
        <w:ilvl w:val="2"/>
        <w:numId w:val="20"/>
      </w:numPr>
      <w:suppressAutoHyphens w:val="0"/>
      <w:spacing w:before="60" w:after="60" w:line="240" w:lineRule="auto"/>
      <w:ind w:left="1440"/>
    </w:pPr>
    <w:rPr>
      <w:sz w:val="20"/>
      <w:szCs w:val="20"/>
    </w:rPr>
  </w:style>
  <w:style w:type="paragraph" w:styleId="ListParagraph">
    <w:name w:val="List Paragraph"/>
    <w:basedOn w:val="Normal"/>
    <w:uiPriority w:val="34"/>
    <w:qFormat/>
    <w:rsid w:val="00551A08"/>
    <w:pPr>
      <w:ind w:left="720"/>
      <w:contextualSpacing/>
    </w:pPr>
  </w:style>
  <w:style w:type="character" w:styleId="FollowedHyperlink">
    <w:name w:val="FollowedHyperlink"/>
    <w:basedOn w:val="DefaultParagraphFont"/>
    <w:uiPriority w:val="99"/>
    <w:semiHidden/>
    <w:unhideWhenUsed/>
    <w:rsid w:val="0057230A"/>
    <w:rPr>
      <w:color w:val="954F72" w:themeColor="followedHyperlink"/>
      <w:u w:val="single"/>
    </w:rPr>
  </w:style>
  <w:style w:type="character" w:customStyle="1" w:styleId="CommentTextChar">
    <w:name w:val="Comment Text Char"/>
    <w:basedOn w:val="DefaultParagraphFont"/>
    <w:link w:val="CommentText"/>
    <w:uiPriority w:val="99"/>
    <w:qFormat/>
    <w:rPr>
      <w:rFonts w:ascii="Times New Roman" w:hAnsi="Times New Roman"/>
      <w:sz w:val="20"/>
      <w:szCs w:val="20"/>
    </w:rPr>
  </w:style>
  <w:style w:type="character" w:styleId="Mention">
    <w:name w:val="Mention"/>
    <w:basedOn w:val="DefaultParagraphFont"/>
    <w:uiPriority w:val="99"/>
    <w:unhideWhenUsed/>
    <w:qFormat/>
    <w:rsid w:val="008E115E"/>
    <w:rPr>
      <w:color w:val="2B579A"/>
      <w:shd w:val="clear" w:color="auto" w:fill="E1DFDD"/>
    </w:rPr>
  </w:style>
  <w:style w:type="character" w:styleId="UnresolvedMention">
    <w:name w:val="Unresolved Mention"/>
    <w:basedOn w:val="DefaultParagraphFont"/>
    <w:uiPriority w:val="99"/>
    <w:semiHidden/>
    <w:unhideWhenUsed/>
    <w:qFormat/>
    <w:rsid w:val="00604010"/>
    <w:rPr>
      <w:color w:val="605E5C"/>
      <w:shd w:val="clear" w:color="auto" w:fill="E1DFDD"/>
    </w:rPr>
  </w:style>
  <w:style w:type="paragraph" w:styleId="BodyText">
    <w:name w:val="Body Text"/>
    <w:basedOn w:val="Normal"/>
    <w:pPr>
      <w:spacing w:before="0" w:after="140" w:line="276" w:lineRule="auto"/>
    </w:pPr>
  </w:style>
  <w:style w:type="paragraph" w:styleId="Caption">
    <w:name w:val="caption"/>
    <w:basedOn w:val="V-FigureText"/>
    <w:next w:val="Normal"/>
    <w:uiPriority w:val="35"/>
    <w:unhideWhenUsed/>
    <w:qFormat/>
    <w:rsid w:val="00551A08"/>
    <w:pPr>
      <w:jc w:val="left"/>
    </w:pPr>
    <w:rPr>
      <w:b/>
      <w:bCs/>
    </w:rPr>
  </w:style>
  <w:style w:type="paragraph" w:customStyle="1" w:styleId="V-heading1">
    <w:name w:val="V-heading 1"/>
    <w:basedOn w:val="Normal"/>
    <w:next w:val="Normal"/>
    <w:uiPriority w:val="9"/>
    <w:qFormat/>
    <w:rsid w:val="0039590A"/>
    <w:pPr>
      <w:keepNext/>
      <w:keepLines/>
      <w:pageBreakBefore/>
      <w:numPr>
        <w:numId w:val="1"/>
      </w:numPr>
      <w:tabs>
        <w:tab w:val="left" w:pos="1080"/>
      </w:tabs>
      <w:spacing w:line="240" w:lineRule="auto"/>
      <w:ind w:left="1080" w:hanging="1080"/>
      <w:outlineLvl w:val="0"/>
    </w:pPr>
    <w:rPr>
      <w:rFonts w:ascii="Times New Roman Bold" w:eastAsiaTheme="majorEastAsia" w:hAnsi="Times New Roman Bold" w:cstheme="majorBidi"/>
      <w:b/>
      <w:caps/>
      <w:szCs w:val="32"/>
    </w:rPr>
  </w:style>
  <w:style w:type="paragraph" w:customStyle="1" w:styleId="V-heading2">
    <w:name w:val="V-heading 2"/>
    <w:basedOn w:val="Normal"/>
    <w:next w:val="Normal"/>
    <w:uiPriority w:val="9"/>
    <w:unhideWhenUsed/>
    <w:qFormat/>
    <w:rsid w:val="005552F9"/>
    <w:pPr>
      <w:keepNext/>
      <w:keepLines/>
      <w:numPr>
        <w:ilvl w:val="1"/>
        <w:numId w:val="1"/>
      </w:numPr>
      <w:tabs>
        <w:tab w:val="left" w:pos="1080"/>
      </w:tabs>
      <w:spacing w:after="120" w:line="240" w:lineRule="auto"/>
      <w:ind w:left="14"/>
      <w:outlineLvl w:val="1"/>
    </w:pPr>
    <w:rPr>
      <w:rFonts w:eastAsiaTheme="majorEastAsia" w:cstheme="majorBidi"/>
      <w:b/>
      <w:szCs w:val="26"/>
    </w:rPr>
  </w:style>
  <w:style w:type="paragraph" w:customStyle="1" w:styleId="V-heading3">
    <w:name w:val="V-heading 3"/>
    <w:basedOn w:val="V-heading2"/>
    <w:next w:val="Normal"/>
    <w:uiPriority w:val="9"/>
    <w:unhideWhenUsed/>
    <w:qFormat/>
    <w:rsid w:val="0096565E"/>
    <w:pPr>
      <w:numPr>
        <w:ilvl w:val="2"/>
      </w:numPr>
      <w:ind w:left="0"/>
      <w:outlineLvl w:val="2"/>
    </w:pPr>
  </w:style>
  <w:style w:type="paragraph" w:customStyle="1" w:styleId="V-heading4">
    <w:name w:val="V-heading 4"/>
    <w:basedOn w:val="V-heading3"/>
    <w:next w:val="Normal"/>
    <w:uiPriority w:val="9"/>
    <w:unhideWhenUsed/>
    <w:qFormat/>
    <w:rsid w:val="0039590A"/>
    <w:pPr>
      <w:numPr>
        <w:ilvl w:val="3"/>
      </w:numPr>
      <w:ind w:left="1080" w:hanging="1080"/>
      <w:outlineLvl w:val="3"/>
    </w:pPr>
  </w:style>
  <w:style w:type="paragraph" w:customStyle="1" w:styleId="V-heading5">
    <w:name w:val="V-heading 5"/>
    <w:basedOn w:val="V-heading4"/>
    <w:next w:val="Normal"/>
    <w:uiPriority w:val="9"/>
    <w:unhideWhenUsed/>
    <w:qFormat/>
    <w:rsid w:val="0038453F"/>
    <w:pPr>
      <w:numPr>
        <w:ilvl w:val="4"/>
      </w:numPr>
      <w:outlineLvl w:val="4"/>
    </w:pPr>
  </w:style>
  <w:style w:type="paragraph" w:customStyle="1" w:styleId="V-heading6">
    <w:name w:val="V-heading 6"/>
    <w:basedOn w:val="V-heading5"/>
    <w:next w:val="Normal"/>
    <w:uiPriority w:val="9"/>
    <w:unhideWhenUsed/>
    <w:qFormat/>
    <w:rsid w:val="0038453F"/>
    <w:pPr>
      <w:numPr>
        <w:ilvl w:val="5"/>
      </w:numPr>
      <w:outlineLvl w:val="5"/>
    </w:pPr>
  </w:style>
  <w:style w:type="paragraph" w:customStyle="1" w:styleId="V-heading7">
    <w:name w:val="V-heading 7"/>
    <w:basedOn w:val="V-heading5"/>
    <w:next w:val="Normal"/>
    <w:uiPriority w:val="9"/>
    <w:unhideWhenUsed/>
    <w:qFormat/>
    <w:rsid w:val="0038453F"/>
    <w:pPr>
      <w:numPr>
        <w:ilvl w:val="6"/>
      </w:numPr>
      <w:outlineLvl w:val="6"/>
    </w:pPr>
  </w:style>
  <w:style w:type="paragraph" w:customStyle="1" w:styleId="HeaderandFooter">
    <w:name w:val="Header and Footer"/>
    <w:basedOn w:val="Normal"/>
    <w:qFormat/>
  </w:style>
  <w:style w:type="paragraph" w:styleId="Header">
    <w:name w:val="header"/>
    <w:basedOn w:val="Normal"/>
    <w:link w:val="HeaderChar"/>
    <w:uiPriority w:val="99"/>
    <w:unhideWhenUsed/>
    <w:rsid w:val="00654672"/>
    <w:pPr>
      <w:tabs>
        <w:tab w:val="right" w:pos="9360"/>
      </w:tabs>
      <w:spacing w:before="0" w:line="240" w:lineRule="auto"/>
      <w:contextualSpacing/>
    </w:pPr>
    <w:rPr>
      <w:sz w:val="20"/>
      <w:szCs w:val="20"/>
    </w:rPr>
  </w:style>
  <w:style w:type="paragraph" w:styleId="Footer">
    <w:name w:val="footer"/>
    <w:basedOn w:val="Normal"/>
    <w:link w:val="FooterChar"/>
    <w:uiPriority w:val="99"/>
    <w:unhideWhenUsed/>
    <w:rsid w:val="00484A40"/>
    <w:pPr>
      <w:spacing w:before="60" w:after="60" w:line="240" w:lineRule="auto"/>
    </w:pPr>
  </w:style>
  <w:style w:type="paragraph" w:styleId="CommentSubject">
    <w:name w:val="annotation subject"/>
    <w:basedOn w:val="Normal"/>
    <w:next w:val="Normal"/>
    <w:link w:val="CommentSubjectChar"/>
    <w:uiPriority w:val="99"/>
    <w:semiHidden/>
    <w:unhideWhenUsed/>
    <w:qFormat/>
    <w:rsid w:val="007E612F"/>
    <w:pPr>
      <w:spacing w:after="160" w:line="240" w:lineRule="auto"/>
    </w:pPr>
    <w:rPr>
      <w:b/>
      <w:bCs/>
      <w:sz w:val="20"/>
      <w:szCs w:val="20"/>
    </w:rPr>
  </w:style>
  <w:style w:type="paragraph" w:styleId="TOCHeading">
    <w:name w:val="TOC Heading"/>
    <w:basedOn w:val="V-heading1"/>
    <w:next w:val="Normal"/>
    <w:uiPriority w:val="39"/>
    <w:unhideWhenUsed/>
    <w:qFormat/>
    <w:rsid w:val="00340779"/>
    <w:pPr>
      <w:numPr>
        <w:numId w:val="0"/>
      </w:numPr>
      <w:spacing w:before="120" w:line="300" w:lineRule="exact"/>
      <w:ind w:left="1080" w:hanging="1080"/>
      <w:jc w:val="center"/>
      <w:outlineLvl w:val="9"/>
    </w:pPr>
    <w:rPr>
      <w:rFonts w:cs="Times New Roman (Headings CS)"/>
    </w:rPr>
  </w:style>
  <w:style w:type="paragraph" w:styleId="TOC1">
    <w:name w:val="toc 1"/>
    <w:basedOn w:val="Normal"/>
    <w:next w:val="Normal"/>
    <w:autoRedefine/>
    <w:uiPriority w:val="39"/>
    <w:unhideWhenUsed/>
    <w:rsid w:val="007D2483"/>
    <w:pPr>
      <w:keepNext/>
      <w:tabs>
        <w:tab w:val="right" w:leader="dot" w:pos="9360"/>
      </w:tabs>
      <w:spacing w:before="80" w:after="80" w:line="240" w:lineRule="auto"/>
      <w:ind w:left="979" w:right="720" w:hanging="979"/>
    </w:pPr>
    <w:rPr>
      <w:caps/>
      <w:color w:val="0000FF"/>
      <w:kern w:val="2"/>
      <w:szCs w:val="24"/>
      <w14:ligatures w14:val="standardContextual"/>
    </w:rPr>
  </w:style>
  <w:style w:type="paragraph" w:styleId="TOC2">
    <w:name w:val="toc 2"/>
    <w:basedOn w:val="Normal"/>
    <w:next w:val="Normal"/>
    <w:autoRedefine/>
    <w:uiPriority w:val="39"/>
    <w:unhideWhenUsed/>
    <w:rsid w:val="0096565E"/>
    <w:pPr>
      <w:tabs>
        <w:tab w:val="right" w:leader="dot" w:pos="9360"/>
      </w:tabs>
      <w:spacing w:before="80" w:after="80" w:line="240" w:lineRule="auto"/>
      <w:ind w:left="979" w:right="720" w:hanging="979"/>
    </w:pPr>
    <w:rPr>
      <w:color w:val="0000FF"/>
      <w:szCs w:val="20"/>
    </w:rPr>
  </w:style>
  <w:style w:type="paragraph" w:styleId="Revision">
    <w:name w:val="Revision"/>
    <w:uiPriority w:val="99"/>
    <w:semiHidden/>
    <w:qFormat/>
    <w:rsid w:val="00B0423B"/>
  </w:style>
  <w:style w:type="paragraph" w:customStyle="1" w:styleId="V-bulletedlist2">
    <w:name w:val="V-bulleted list 2"/>
    <w:basedOn w:val="Normal"/>
    <w:qFormat/>
    <w:rsid w:val="00A85145"/>
    <w:pPr>
      <w:numPr>
        <w:numId w:val="8"/>
      </w:numPr>
      <w:spacing w:before="120" w:after="120" w:line="240" w:lineRule="auto"/>
      <w:ind w:left="1080"/>
    </w:pPr>
  </w:style>
  <w:style w:type="paragraph" w:styleId="FootnoteText">
    <w:name w:val="footnote text"/>
    <w:basedOn w:val="Normal"/>
    <w:link w:val="FootnoteTextChar"/>
    <w:uiPriority w:val="99"/>
    <w:semiHidden/>
    <w:unhideWhenUsed/>
    <w:rsid w:val="00477A6D"/>
    <w:pPr>
      <w:spacing w:before="0" w:after="0" w:line="240" w:lineRule="auto"/>
    </w:pPr>
    <w:rPr>
      <w:sz w:val="20"/>
      <w:szCs w:val="20"/>
    </w:rPr>
  </w:style>
  <w:style w:type="paragraph" w:styleId="TOC3">
    <w:name w:val="toc 3"/>
    <w:basedOn w:val="TOC2"/>
    <w:next w:val="Normal"/>
    <w:autoRedefine/>
    <w:uiPriority w:val="39"/>
    <w:unhideWhenUsed/>
    <w:rsid w:val="0049561E"/>
    <w:pPr>
      <w:ind w:left="990" w:hanging="990"/>
    </w:pPr>
    <w:rPr>
      <w:noProof/>
    </w:rPr>
  </w:style>
  <w:style w:type="paragraph" w:styleId="TOC4">
    <w:name w:val="toc 4"/>
    <w:basedOn w:val="Normal"/>
    <w:next w:val="Normal"/>
    <w:autoRedefine/>
    <w:uiPriority w:val="39"/>
    <w:unhideWhenUsed/>
    <w:rsid w:val="0057230A"/>
    <w:pPr>
      <w:spacing w:before="0" w:after="0"/>
      <w:ind w:left="720"/>
    </w:pPr>
    <w:rPr>
      <w:sz w:val="18"/>
      <w:szCs w:val="18"/>
    </w:rPr>
  </w:style>
  <w:style w:type="paragraph" w:styleId="TOC5">
    <w:name w:val="toc 5"/>
    <w:basedOn w:val="Normal"/>
    <w:next w:val="Normal"/>
    <w:autoRedefine/>
    <w:uiPriority w:val="39"/>
    <w:unhideWhenUsed/>
    <w:rsid w:val="0057230A"/>
    <w:pPr>
      <w:spacing w:before="0" w:after="0"/>
      <w:ind w:left="960"/>
    </w:pPr>
    <w:rPr>
      <w:sz w:val="18"/>
      <w:szCs w:val="18"/>
    </w:rPr>
  </w:style>
  <w:style w:type="paragraph" w:styleId="TOC6">
    <w:name w:val="toc 6"/>
    <w:basedOn w:val="Normal"/>
    <w:next w:val="Normal"/>
    <w:autoRedefine/>
    <w:uiPriority w:val="39"/>
    <w:unhideWhenUsed/>
    <w:rsid w:val="0057230A"/>
    <w:pPr>
      <w:spacing w:before="0" w:after="0"/>
      <w:ind w:left="1200"/>
    </w:pPr>
    <w:rPr>
      <w:sz w:val="18"/>
      <w:szCs w:val="18"/>
    </w:rPr>
  </w:style>
  <w:style w:type="paragraph" w:styleId="TOC7">
    <w:name w:val="toc 7"/>
    <w:basedOn w:val="Normal"/>
    <w:next w:val="Normal"/>
    <w:autoRedefine/>
    <w:uiPriority w:val="39"/>
    <w:unhideWhenUsed/>
    <w:rsid w:val="0057230A"/>
    <w:pPr>
      <w:spacing w:before="0" w:after="0"/>
      <w:ind w:left="1440"/>
    </w:pPr>
    <w:rPr>
      <w:sz w:val="18"/>
      <w:szCs w:val="18"/>
    </w:rPr>
  </w:style>
  <w:style w:type="paragraph" w:styleId="TOC8">
    <w:name w:val="toc 8"/>
    <w:basedOn w:val="Normal"/>
    <w:next w:val="Normal"/>
    <w:autoRedefine/>
    <w:uiPriority w:val="39"/>
    <w:unhideWhenUsed/>
    <w:rsid w:val="0057230A"/>
    <w:pPr>
      <w:spacing w:before="0" w:after="0"/>
      <w:ind w:left="1680"/>
    </w:pPr>
    <w:rPr>
      <w:sz w:val="18"/>
      <w:szCs w:val="18"/>
    </w:rPr>
  </w:style>
  <w:style w:type="paragraph" w:styleId="TOC9">
    <w:name w:val="toc 9"/>
    <w:basedOn w:val="Normal"/>
    <w:next w:val="Normal"/>
    <w:autoRedefine/>
    <w:uiPriority w:val="39"/>
    <w:unhideWhenUsed/>
    <w:rsid w:val="0057230A"/>
    <w:pPr>
      <w:spacing w:before="0" w:after="0"/>
      <w:ind w:left="1920"/>
    </w:pPr>
    <w:rPr>
      <w:sz w:val="18"/>
      <w:szCs w:val="18"/>
    </w:rPr>
  </w:style>
  <w:style w:type="paragraph" w:styleId="TableofFigures">
    <w:name w:val="table of figures"/>
    <w:basedOn w:val="Normal"/>
    <w:next w:val="Normal"/>
    <w:uiPriority w:val="99"/>
    <w:unhideWhenUsed/>
    <w:rsid w:val="00C02238"/>
    <w:pPr>
      <w:tabs>
        <w:tab w:val="left" w:pos="1440"/>
        <w:tab w:val="right" w:leader="dot" w:pos="9350"/>
      </w:tabs>
      <w:spacing w:before="120" w:after="0"/>
      <w:ind w:left="1440" w:hanging="1440"/>
    </w:pPr>
    <w:rPr>
      <w:noProof/>
      <w:color w:val="0000FF"/>
    </w:rPr>
  </w:style>
  <w:style w:type="paragraph" w:styleId="CommentText">
    <w:name w:val="annotation text"/>
    <w:basedOn w:val="Normal"/>
    <w:link w:val="CommentTextChar"/>
    <w:uiPriority w:val="99"/>
    <w:unhideWhenUsed/>
    <w:pPr>
      <w:spacing w:line="240" w:lineRule="auto"/>
    </w:pPr>
    <w:rPr>
      <w:sz w:val="20"/>
      <w:szCs w:val="20"/>
    </w:rPr>
  </w:style>
  <w:style w:type="paragraph" w:customStyle="1" w:styleId="Heading1un-numbered">
    <w:name w:val="Heading 1 un-numbered"/>
    <w:basedOn w:val="V-heading1"/>
    <w:qFormat/>
    <w:rsid w:val="00604967"/>
    <w:pPr>
      <w:keepNext w:val="0"/>
      <w:keepLines w:val="0"/>
      <w:pageBreakBefore w:val="0"/>
      <w:widowControl w:val="0"/>
      <w:numPr>
        <w:numId w:val="0"/>
      </w:numPr>
      <w:ind w:left="1080" w:hanging="1080"/>
      <w:jc w:val="center"/>
    </w:pPr>
  </w:style>
  <w:style w:type="paragraph" w:customStyle="1" w:styleId="V-bulletedlist3">
    <w:name w:val="V-bulleted list 3"/>
    <w:basedOn w:val="Normal"/>
    <w:next w:val="V-bulletedlist2"/>
    <w:qFormat/>
    <w:rsid w:val="00A85145"/>
    <w:pPr>
      <w:numPr>
        <w:numId w:val="9"/>
      </w:numPr>
      <w:spacing w:before="120" w:after="120" w:line="240" w:lineRule="auto"/>
      <w:ind w:left="1440"/>
    </w:pPr>
  </w:style>
  <w:style w:type="paragraph" w:customStyle="1" w:styleId="V-numberedlist2">
    <w:name w:val="V-numbered list 2"/>
    <w:basedOn w:val="Normal"/>
    <w:qFormat/>
    <w:rsid w:val="00087EC0"/>
    <w:pPr>
      <w:numPr>
        <w:numId w:val="5"/>
      </w:numPr>
      <w:spacing w:before="120" w:after="120" w:line="240" w:lineRule="auto"/>
      <w:ind w:left="1080"/>
    </w:pPr>
  </w:style>
  <w:style w:type="paragraph" w:customStyle="1" w:styleId="V-numberedlist3">
    <w:name w:val="V-numbered list 3"/>
    <w:basedOn w:val="Normal"/>
    <w:qFormat/>
    <w:rsid w:val="00087EC0"/>
    <w:pPr>
      <w:numPr>
        <w:numId w:val="6"/>
      </w:numPr>
      <w:spacing w:before="120" w:after="120" w:line="240" w:lineRule="auto"/>
      <w:ind w:left="1800"/>
    </w:pPr>
  </w:style>
  <w:style w:type="paragraph" w:customStyle="1" w:styleId="V-BulletList1">
    <w:name w:val="V-Bullet List 1"/>
    <w:basedOn w:val="Normal"/>
    <w:qFormat/>
    <w:rsid w:val="00484A40"/>
    <w:pPr>
      <w:numPr>
        <w:numId w:val="7"/>
      </w:numPr>
      <w:spacing w:before="120" w:after="120" w:line="240" w:lineRule="auto"/>
    </w:pPr>
  </w:style>
  <w:style w:type="paragraph" w:customStyle="1" w:styleId="V-BodyText">
    <w:name w:val="V-Body Text"/>
    <w:basedOn w:val="Normal"/>
    <w:qFormat/>
    <w:rsid w:val="009929D3"/>
    <w:pPr>
      <w:spacing w:line="280" w:lineRule="atLeast"/>
    </w:pPr>
    <w:rPr>
      <w:szCs w:val="24"/>
    </w:rPr>
  </w:style>
  <w:style w:type="paragraph" w:customStyle="1" w:styleId="V-NumberedList1">
    <w:name w:val="V-Numbered List 1"/>
    <w:basedOn w:val="Normal"/>
    <w:qFormat/>
    <w:rsid w:val="00087EC0"/>
    <w:pPr>
      <w:numPr>
        <w:numId w:val="4"/>
      </w:numPr>
      <w:spacing w:before="120" w:after="120" w:line="259" w:lineRule="auto"/>
    </w:pPr>
  </w:style>
  <w:style w:type="paragraph" w:customStyle="1" w:styleId="V-tableheader">
    <w:name w:val="V-table header"/>
    <w:basedOn w:val="Normal"/>
    <w:qFormat/>
    <w:rsid w:val="00B42FC4"/>
    <w:pPr>
      <w:spacing w:before="60" w:after="60" w:line="240" w:lineRule="auto"/>
      <w:jc w:val="center"/>
    </w:pPr>
    <w:rPr>
      <w:b/>
      <w:bCs/>
      <w:sz w:val="20"/>
      <w:szCs w:val="20"/>
    </w:rPr>
  </w:style>
  <w:style w:type="paragraph" w:customStyle="1" w:styleId="V-TableSource">
    <w:name w:val="V-TableSource"/>
    <w:basedOn w:val="Normal"/>
    <w:qFormat/>
    <w:rsid w:val="00BE735C"/>
    <w:pPr>
      <w:keepNext/>
      <w:keepLines/>
      <w:spacing w:before="60" w:after="360" w:line="240" w:lineRule="auto"/>
    </w:pPr>
    <w:rPr>
      <w:sz w:val="20"/>
      <w:szCs w:val="20"/>
    </w:rPr>
  </w:style>
  <w:style w:type="paragraph" w:customStyle="1" w:styleId="V-Tableabbreviationsnotes">
    <w:name w:val="V-Table_abbreviations_notes"/>
    <w:basedOn w:val="Normal"/>
    <w:qFormat/>
    <w:rsid w:val="00BE735C"/>
    <w:pPr>
      <w:keepNext/>
      <w:keepLines/>
      <w:spacing w:before="60" w:after="60" w:line="240" w:lineRule="auto"/>
    </w:pPr>
    <w:rPr>
      <w:sz w:val="20"/>
      <w:szCs w:val="20"/>
    </w:rPr>
  </w:style>
  <w:style w:type="paragraph" w:customStyle="1" w:styleId="V-tablebullet1">
    <w:name w:val="V-table bullet 1"/>
    <w:basedOn w:val="V-SynopsisBullet1"/>
    <w:qFormat/>
    <w:rsid w:val="00452F4D"/>
    <w:pPr>
      <w:ind w:left="360"/>
    </w:pPr>
  </w:style>
  <w:style w:type="paragraph" w:customStyle="1" w:styleId="V-tablebullet2">
    <w:name w:val="V-table bullet 2"/>
    <w:basedOn w:val="V-SynopsisBullet2"/>
    <w:qFormat/>
    <w:rsid w:val="00452F4D"/>
    <w:pPr>
      <w:ind w:left="360"/>
    </w:pPr>
  </w:style>
  <w:style w:type="paragraph" w:customStyle="1" w:styleId="V-tablerowheader">
    <w:name w:val="V-table row header"/>
    <w:basedOn w:val="Normal"/>
    <w:qFormat/>
    <w:rsid w:val="00B42FC4"/>
    <w:pPr>
      <w:spacing w:before="60" w:after="60" w:line="240" w:lineRule="auto"/>
    </w:pPr>
    <w:rPr>
      <w:b/>
      <w:bCs/>
      <w:sz w:val="20"/>
      <w:szCs w:val="20"/>
    </w:rPr>
  </w:style>
  <w:style w:type="paragraph" w:customStyle="1" w:styleId="V-tablerowindent">
    <w:name w:val="V-table row indent"/>
    <w:basedOn w:val="Normal"/>
    <w:qFormat/>
    <w:rsid w:val="00B42FC4"/>
    <w:pPr>
      <w:spacing w:before="60" w:after="60" w:line="240" w:lineRule="auto"/>
      <w:ind w:left="216"/>
    </w:pPr>
    <w:rPr>
      <w:sz w:val="20"/>
      <w:szCs w:val="20"/>
    </w:rPr>
  </w:style>
  <w:style w:type="paragraph" w:customStyle="1" w:styleId="V-tablebody">
    <w:name w:val="V-table body"/>
    <w:basedOn w:val="V-BodyText"/>
    <w:qFormat/>
    <w:rsid w:val="007B385C"/>
    <w:pPr>
      <w:spacing w:before="60" w:after="60" w:line="240" w:lineRule="auto"/>
      <w:jc w:val="center"/>
    </w:pPr>
    <w:rPr>
      <w:sz w:val="20"/>
      <w:szCs w:val="20"/>
    </w:rPr>
  </w:style>
  <w:style w:type="paragraph" w:customStyle="1" w:styleId="V-FigureText">
    <w:name w:val="V-Figure Text"/>
    <w:basedOn w:val="V-BodyText"/>
    <w:qFormat/>
    <w:rsid w:val="00175E6A"/>
    <w:pPr>
      <w:keepNext/>
      <w:keepLines/>
      <w:spacing w:before="320" w:after="320"/>
      <w:jc w:val="center"/>
    </w:pPr>
  </w:style>
  <w:style w:type="paragraph" w:customStyle="1" w:styleId="V-tablecellleft">
    <w:name w:val="V-table cell left"/>
    <w:basedOn w:val="V-tablebody"/>
    <w:qFormat/>
    <w:rsid w:val="004A290D"/>
    <w:pPr>
      <w:jc w:val="left"/>
    </w:pPr>
  </w:style>
  <w:style w:type="paragraph" w:customStyle="1" w:styleId="V-tablefootnote">
    <w:name w:val="V-table footnote"/>
    <w:basedOn w:val="V-TableSource"/>
    <w:qFormat/>
    <w:rsid w:val="00AE5C5C"/>
  </w:style>
  <w:style w:type="paragraph" w:customStyle="1" w:styleId="V-AppendixHeading">
    <w:name w:val="V-Appendix Heading"/>
    <w:basedOn w:val="Heading1un-numbered"/>
    <w:next w:val="Normal"/>
    <w:uiPriority w:val="9"/>
    <w:qFormat/>
    <w:pPr>
      <w:pageBreakBefore/>
    </w:pPr>
    <w:rPr>
      <w:sz w:val="28"/>
      <w:szCs w:val="28"/>
    </w:rPr>
  </w:style>
  <w:style w:type="paragraph" w:customStyle="1" w:styleId="V-AppendixSubheading">
    <w:name w:val="V-Appendix Subheading"/>
    <w:basedOn w:val="V-heading2"/>
    <w:next w:val="Normal"/>
    <w:uiPriority w:val="9"/>
    <w:qFormat/>
    <w:pPr>
      <w:numPr>
        <w:ilvl w:val="0"/>
        <w:numId w:val="0"/>
      </w:numPr>
      <w:outlineLvl w:val="9"/>
    </w:pPr>
  </w:style>
  <w:style w:type="table" w:styleId="TableGrid">
    <w:name w:val="Table Grid"/>
    <w:basedOn w:val="TableNormal"/>
    <w:uiPriority w:val="39"/>
    <w:rsid w:val="00DB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Guidance">
    <w:name w:val="V-Guidance"/>
    <w:basedOn w:val="V-BodyText"/>
    <w:rPr>
      <w:i/>
      <w:color w:val="1F7A3A"/>
    </w:rPr>
  </w:style>
  <w:style w:type="paragraph" w:customStyle="1" w:styleId="V-Example">
    <w:name w:val="V-Example"/>
    <w:basedOn w:val="V-BodyText"/>
    <w:rPr>
      <w:i/>
      <w:color w:val="000000"/>
    </w:rPr>
  </w:style>
  <w:style w:type="paragraph" w:customStyle="1" w:styleId="V-TitleCenter">
    <w:name w:val="V-Title Center"/>
    <w:basedOn w:val="V-BodyText"/>
    <w:pPr>
      <w:jc w:val="center"/>
    </w:pPr>
  </w:style>
  <w:style w:type="paragraph" w:customStyle="1" w:styleId="V-Confidentiality">
    <w:name w:val="V-Confidentiality"/>
    <w:basedOn w:val="V-BodyText"/>
    <w:pPr>
      <w:jc w:val="center"/>
    </w:pPr>
    <w:rPr>
      <w:sz w:val="20"/>
    </w:rPr>
  </w:style>
  <w:style w:type="paragraph" w:customStyle="1" w:styleId="V-ConfidentialityHeading">
    <w:name w:val="V-Confidentiality Heading"/>
    <w:basedOn w:val="V-BodyText"/>
    <w:rsid w:val="00C15D34"/>
    <w:pPr>
      <w:spacing w:before="700"/>
      <w:jc w:val="center"/>
    </w:pPr>
    <w:rPr>
      <w:b/>
      <w:sz w:val="20"/>
    </w:rPr>
  </w:style>
  <w:style w:type="paragraph" w:customStyle="1" w:styleId="V-SynopsisBodyText">
    <w:name w:val="V-Synopsis_BodyText"/>
    <w:qFormat/>
    <w:rsid w:val="0061779B"/>
    <w:pPr>
      <w:spacing w:before="60" w:after="60"/>
    </w:pPr>
    <w:rPr>
      <w:sz w:val="20"/>
      <w:szCs w:val="20"/>
    </w:rPr>
  </w:style>
  <w:style w:type="paragraph" w:customStyle="1" w:styleId="V-SynopsisHeading">
    <w:name w:val="V-Synopsis_Heading"/>
    <w:basedOn w:val="Normal"/>
    <w:qFormat/>
    <w:rsid w:val="0061779B"/>
    <w:pPr>
      <w:spacing w:before="60" w:after="60" w:line="240" w:lineRule="auto"/>
    </w:pPr>
    <w:rPr>
      <w:b/>
      <w:bCs/>
      <w:sz w:val="20"/>
      <w:szCs w:val="20"/>
    </w:rPr>
  </w:style>
  <w:style w:type="paragraph" w:customStyle="1" w:styleId="V-SynopsisNumberedList1">
    <w:name w:val="V-Synopsis_Numbered List1"/>
    <w:basedOn w:val="Normal"/>
    <w:qFormat/>
    <w:rsid w:val="005D3FB6"/>
    <w:pPr>
      <w:numPr>
        <w:numId w:val="20"/>
      </w:numPr>
      <w:suppressAutoHyphens w:val="0"/>
      <w:spacing w:before="60" w:after="60" w:line="240" w:lineRule="auto"/>
      <w:ind w:left="360"/>
    </w:pPr>
    <w:rPr>
      <w:rFonts w:eastAsia="Times"/>
      <w:sz w:val="20"/>
      <w:szCs w:val="24"/>
    </w:rPr>
  </w:style>
  <w:style w:type="paragraph" w:customStyle="1" w:styleId="V-SynopsisHeading2">
    <w:name w:val="V-Synopsis_Heading2"/>
    <w:basedOn w:val="Normal"/>
    <w:qFormat/>
    <w:rsid w:val="006B2E81"/>
    <w:pPr>
      <w:keepNext/>
      <w:keepLines/>
      <w:suppressAutoHyphens w:val="0"/>
      <w:spacing w:before="120" w:after="120" w:line="240" w:lineRule="auto"/>
    </w:pPr>
    <w:rPr>
      <w:rFonts w:eastAsia="Times"/>
      <w:bCs/>
      <w:i/>
      <w:sz w:val="20"/>
      <w:szCs w:val="24"/>
    </w:rPr>
  </w:style>
  <w:style w:type="paragraph" w:customStyle="1" w:styleId="V-SynopsisBullet1">
    <w:name w:val="V-Synopsis_Bullet1"/>
    <w:basedOn w:val="ListParagraph"/>
    <w:qFormat/>
    <w:rsid w:val="005C24FA"/>
    <w:pPr>
      <w:numPr>
        <w:numId w:val="29"/>
      </w:numPr>
      <w:spacing w:before="60" w:after="60" w:line="240" w:lineRule="auto"/>
      <w:contextualSpacing w:val="0"/>
    </w:pPr>
    <w:rPr>
      <w:sz w:val="20"/>
      <w:szCs w:val="20"/>
    </w:rPr>
  </w:style>
  <w:style w:type="paragraph" w:customStyle="1" w:styleId="V-SynopsisBullet2">
    <w:name w:val="V-Synopsis_Bullet2"/>
    <w:basedOn w:val="ListParagraph"/>
    <w:qFormat/>
    <w:rsid w:val="00551A08"/>
    <w:pPr>
      <w:numPr>
        <w:numId w:val="30"/>
      </w:numPr>
      <w:spacing w:before="60" w:after="60" w:line="240" w:lineRule="auto"/>
      <w:ind w:left="1080"/>
      <w:contextualSpacing w:val="0"/>
    </w:pPr>
    <w:rPr>
      <w:sz w:val="20"/>
      <w:szCs w:val="20"/>
    </w:rPr>
  </w:style>
  <w:style w:type="paragraph" w:customStyle="1" w:styleId="V-SynopsisBullet3">
    <w:name w:val="V-Synopsis_Bullet3"/>
    <w:basedOn w:val="ListParagraph"/>
    <w:qFormat/>
    <w:rsid w:val="00551A08"/>
    <w:pPr>
      <w:numPr>
        <w:numId w:val="32"/>
      </w:numPr>
      <w:spacing w:before="60" w:after="60" w:line="240" w:lineRule="auto"/>
      <w:ind w:left="1440" w:hanging="360"/>
      <w:contextualSpacing w:val="0"/>
    </w:pPr>
    <w:rPr>
      <w:sz w:val="20"/>
      <w:szCs w:val="20"/>
    </w:rPr>
  </w:style>
  <w:style w:type="paragraph" w:customStyle="1" w:styleId="V-SynopsisNumberedlist2">
    <w:name w:val="V-Synopsis_Numberedlist2"/>
    <w:basedOn w:val="Normal"/>
    <w:qFormat/>
    <w:rsid w:val="000307A2"/>
    <w:pPr>
      <w:numPr>
        <w:ilvl w:val="1"/>
        <w:numId w:val="20"/>
      </w:numPr>
      <w:suppressAutoHyphens w:val="0"/>
      <w:spacing w:before="60" w:after="60" w:line="240" w:lineRule="auto"/>
      <w:ind w:left="1080"/>
    </w:pPr>
    <w:rPr>
      <w:sz w:val="20"/>
      <w:szCs w:val="24"/>
    </w:rPr>
  </w:style>
  <w:style w:type="paragraph" w:customStyle="1" w:styleId="V-TitleLabel">
    <w:name w:val="V-Title Label"/>
    <w:basedOn w:val="V-tablerowheader"/>
    <w:qFormat/>
    <w:rsid w:val="00C15D34"/>
    <w:rPr>
      <w:sz w:val="22"/>
      <w:szCs w:val="22"/>
    </w:rPr>
  </w:style>
  <w:style w:type="paragraph" w:customStyle="1" w:styleId="V-TitleValue">
    <w:name w:val="V-Title Value"/>
    <w:basedOn w:val="V-tablecellleft"/>
    <w:qFormat/>
    <w:rsid w:val="00C15D34"/>
    <w:rPr>
      <w:sz w:val="22"/>
      <w:szCs w:val="22"/>
    </w:rPr>
  </w:style>
  <w:style w:type="paragraph" w:customStyle="1" w:styleId="V-table-footnotes">
    <w:name w:val="V-table-footnotes"/>
    <w:basedOn w:val="ListParagraph"/>
    <w:qFormat/>
    <w:rsid w:val="00A06EB3"/>
    <w:pPr>
      <w:numPr>
        <w:numId w:val="33"/>
      </w:numPr>
      <w:spacing w:before="60" w:after="60" w:line="240" w:lineRule="auto"/>
      <w:ind w:left="360"/>
      <w:contextualSpacing w:val="0"/>
    </w:pPr>
    <w:rPr>
      <w:sz w:val="20"/>
      <w:szCs w:val="20"/>
    </w:rPr>
  </w:style>
  <w:style w:type="paragraph" w:customStyle="1" w:styleId="V-Greyed">
    <w:name w:val="V-Greyed"/>
    <w:basedOn w:val="V-BodyText"/>
    <w:qFormat/>
    <w:rsid w:val="006D7C99"/>
    <w:rPr>
      <w:i/>
      <w:color w:val="7B7B7B"/>
    </w:rPr>
  </w:style>
  <w:style w:type="character" w:customStyle="1" w:styleId="V-GreyedChar">
    <w:name w:val="V-Greyed Char"/>
    <w:basedOn w:val="DefaultParagraphFont"/>
    <w:rPr>
      <w:color w:val="7B7B7B"/>
    </w:rPr>
  </w:style>
  <w:style w:type="character" w:styleId="PlaceholderText">
    <w:name w:val="Placeholder Text"/>
    <w:basedOn w:val="DefaultParagraphFont"/>
    <w:uiPriority w:val="99"/>
    <w:semiHidden/>
    <w:rsid w:val="00DD6CD6"/>
    <w:rPr>
      <w:color w:val="666666"/>
    </w:rPr>
  </w:style>
  <w:style w:type="paragraph" w:customStyle="1" w:styleId="SynopsisTableBullet">
    <w:name w:val="SynopsisTableBullet"/>
    <w:qFormat/>
    <w:rsid w:val="006B2E81"/>
    <w:pPr>
      <w:numPr>
        <w:numId w:val="46"/>
      </w:numPr>
      <w:tabs>
        <w:tab w:val="num" w:pos="360"/>
      </w:tabs>
      <w:ind w:left="0" w:firstLine="0"/>
    </w:pPr>
  </w:style>
  <w:style w:type="paragraph" w:customStyle="1" w:styleId="SynopsisTableBulletOpen">
    <w:name w:val="SynopsisTableBulletOpen"/>
    <w:qFormat/>
    <w:rsid w:val="006B2E81"/>
    <w:pPr>
      <w:numPr>
        <w:numId w:val="45"/>
      </w:numPr>
      <w:tabs>
        <w:tab w:val="num" w:pos="360"/>
      </w:tabs>
      <w:ind w:left="360" w:firstLine="0"/>
    </w:pPr>
  </w:style>
  <w:style w:type="paragraph" w:customStyle="1" w:styleId="SynopsisText">
    <w:name w:val="Synopsis_Text"/>
    <w:basedOn w:val="Normal"/>
    <w:qFormat/>
    <w:rsid w:val="00452F4D"/>
    <w:pPr>
      <w:suppressAutoHyphens w:val="0"/>
      <w:spacing w:before="60" w:after="60" w:line="240" w:lineRule="auto"/>
    </w:pPr>
    <w:rPr>
      <w:bCs/>
      <w:sz w:val="20"/>
      <w:szCs w:val="24"/>
    </w:rPr>
  </w:style>
  <w:style w:type="paragraph" w:customStyle="1" w:styleId="C-BodyText">
    <w:name w:val="C-Body Text"/>
    <w:link w:val="C-BodyTextChar1"/>
    <w:qFormat/>
    <w:rsid w:val="00153D5F"/>
    <w:pPr>
      <w:suppressAutoHyphens w:val="0"/>
      <w:spacing w:before="120" w:after="120" w:line="280" w:lineRule="atLeast"/>
    </w:pPr>
    <w:rPr>
      <w:sz w:val="24"/>
      <w:szCs w:val="20"/>
    </w:rPr>
  </w:style>
  <w:style w:type="character" w:customStyle="1" w:styleId="C-BodyTextChar1">
    <w:name w:val="C-Body Text Char1"/>
    <w:link w:val="C-BodyText"/>
    <w:rsid w:val="00153D5F"/>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panose="020F0302020204030204"/>
        <a:ea typeface=""/>
        <a:cs typeface=""/>
      </a:majorFont>
      <a:minorFont>
        <a:latin typeface="Times New Roman"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54AE-1FEA-9146-BDE8-5E44978A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15191</Words>
  <Characters>86595</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Vertex Clinical Study Protocol Template v3.1</vt:lpstr>
    </vt:vector>
  </TitlesOfParts>
  <Company/>
  <LinksUpToDate>false</LinksUpToDate>
  <CharactersWithSpaces>101583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Vertex Clinical Study Protocol Template v3.1</dc:title>
  <dc:subject/>
  <dc:creator>Vertex Writing Solutions</dc:creator>
  <cp:keywords/>
  <dc:description/>
  <cp:lastModifiedBy>Vertex Writing Solutions</cp:lastModifiedBy>
  <cp:revision>1</cp:revision>
  <cp:lastPrinted>2026-07-03T21:42:00Z</cp:lastPrinted>
  <dcterms:created xsi:type="dcterms:W3CDTF">2026-06-26T12:00:00Z</dcterms:created>
  <dcterms:modified xsi:type="dcterms:W3CDTF">2026-06-26T12:00:00Z</dcterms:modified>
  <cp:category/>
  <dc:language>en-US</dc:language>
</cp:coreProperties>
</file>